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6977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697730"/>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KOOP BRYAN J</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Pr>
          <w:p>
            <w:pPr>
              <w:ind w:left="280"/>
              <w:spacing w:after="0"/>
              <w:rPr>
                <w:sz w:val="20"/>
                <w:szCs w:val="20"/>
                <w:color w:val="auto"/>
              </w:rPr>
            </w:pPr>
            <w:r>
              <w:rPr>
                <w:rFonts w:ascii="Arial" w:cs="Arial" w:eastAsia="Arial" w:hAnsi="Arial"/>
                <w:sz w:val="13"/>
                <w:szCs w:val="13"/>
                <w:color w:val="auto"/>
              </w:rPr>
              <w:t>(First)</w:t>
            </w:r>
          </w:p>
        </w:tc>
        <w:tc>
          <w:tcPr>
            <w:tcW w:w="1460" w:type="dxa"/>
            <w:vAlign w:val="bottom"/>
          </w:tcPr>
          <w:p>
            <w:pPr>
              <w:ind w:left="28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C/O BXP</w:t>
            </w:r>
          </w:p>
        </w:tc>
        <w:tc>
          <w:tcPr>
            <w:tcW w:w="12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800 BOYLSTON STREET</w:t>
            </w:r>
          </w:p>
        </w:tc>
        <w:tc>
          <w:tcPr>
            <w:tcW w:w="1460" w:type="dxa"/>
            <w:vAlign w:val="bottom"/>
          </w:tcPr>
          <w:p>
            <w:pPr>
              <w:spacing w:after="0"/>
              <w:rPr>
                <w:sz w:val="22"/>
                <w:szCs w:val="22"/>
                <w:color w:val="auto"/>
              </w:rPr>
            </w:pPr>
          </w:p>
        </w:tc>
      </w:tr>
      <w:tr>
        <w:trPr>
          <w:trHeight w:val="151"/>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r>
      <w:tr>
        <w:trPr>
          <w:trHeight w:val="263"/>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22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46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02199</w:t>
            </w:r>
          </w:p>
        </w:tc>
      </w:tr>
      <w:tr>
        <w:trPr>
          <w:trHeight w:val="151"/>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280"/>
              <w:spacing w:after="0"/>
              <w:rPr>
                <w:sz w:val="20"/>
                <w:szCs w:val="20"/>
                <w:color w:val="auto"/>
              </w:rPr>
            </w:pPr>
            <w:r>
              <w:rPr>
                <w:rFonts w:ascii="Arial" w:cs="Arial" w:eastAsia="Arial" w:hAnsi="Arial"/>
                <w:sz w:val="13"/>
                <w:szCs w:val="13"/>
                <w:color w:val="auto"/>
              </w:rPr>
              <w:t>(State)</w:t>
            </w:r>
          </w:p>
        </w:tc>
        <w:tc>
          <w:tcPr>
            <w:tcW w:w="1460" w:type="dxa"/>
            <w:vAlign w:val="bottom"/>
          </w:tcPr>
          <w:p>
            <w:pPr>
              <w:ind w:left="2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3"/>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2540" w:type="dxa"/>
            <w:vAlign w:val="bottom"/>
            <w:tcBorders>
              <w:bottom w:val="single" w:sz="8" w:color="0000EE"/>
            </w:tcBorders>
            <w:gridSpan w:val="3"/>
          </w:tcPr>
          <w:p>
            <w:pPr>
              <w:spacing w:after="0" w:line="208" w:lineRule="exact"/>
              <w:rPr>
                <w:rFonts w:ascii="Times New Roman" w:cs="Times New Roman" w:eastAsia="Times New Roman" w:hAnsi="Times New Roman"/>
                <w:sz w:val="21"/>
                <w:szCs w:val="21"/>
                <w:color w:val="0000EE"/>
                <w:w w:val="97"/>
              </w:rPr>
            </w:pPr>
            <w:hyperlink r:id="rId14">
              <w:r>
                <w:rPr>
                  <w:rFonts w:ascii="Times New Roman" w:cs="Times New Roman" w:eastAsia="Times New Roman" w:hAnsi="Times New Roman"/>
                  <w:sz w:val="21"/>
                  <w:szCs w:val="21"/>
                  <w:color w:val="0000EE"/>
                  <w:w w:val="97"/>
                </w:rPr>
                <w:t>BOSTON PROPERTIES LTD</w:t>
              </w:r>
            </w:hyperlink>
          </w:p>
        </w:tc>
        <w:tc>
          <w:tcPr>
            <w:tcW w:w="122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3760" w:type="dxa"/>
            <w:vAlign w:val="bottom"/>
            <w:gridSpan w:val="4"/>
            <w:vMerge w:val="restart"/>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PARTNERSHIP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200" w:type="dxa"/>
            <w:vAlign w:val="bottom"/>
          </w:tcPr>
          <w:p>
            <w:pPr>
              <w:spacing w:after="0"/>
              <w:rPr>
                <w:sz w:val="12"/>
                <w:szCs w:val="12"/>
                <w:color w:val="auto"/>
              </w:rPr>
            </w:pPr>
          </w:p>
        </w:tc>
        <w:tc>
          <w:tcPr>
            <w:tcW w:w="166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60" w:type="dxa"/>
            <w:vAlign w:val="bottom"/>
          </w:tcPr>
          <w:p>
            <w:pPr>
              <w:spacing w:after="0"/>
              <w:rPr>
                <w:sz w:val="6"/>
                <w:szCs w:val="6"/>
                <w:color w:val="auto"/>
              </w:rPr>
            </w:pPr>
          </w:p>
        </w:tc>
        <w:tc>
          <w:tcPr>
            <w:tcW w:w="3760" w:type="dxa"/>
            <w:vAlign w:val="bottom"/>
            <w:gridSpan w:val="4"/>
            <w:vMerge w:val="continue"/>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8"/>
        </w:trPr>
        <w:tc>
          <w:tcPr>
            <w:tcW w:w="6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40" w:type="dxa"/>
            <w:vAlign w:val="bottom"/>
            <w:tcBorders>
              <w:top w:val="single" w:sz="8" w:color="0000EE"/>
            </w:tcBorders>
          </w:tcPr>
          <w:p>
            <w:pPr>
              <w:spacing w:after="0"/>
              <w:rPr>
                <w:sz w:val="5"/>
                <w:szCs w:val="5"/>
                <w:color w:val="auto"/>
              </w:rPr>
            </w:pPr>
          </w:p>
        </w:tc>
        <w:tc>
          <w:tcPr>
            <w:tcW w:w="11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2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tcPr>
          <w:p>
            <w:pPr>
              <w:spacing w:after="0"/>
              <w:rPr>
                <w:sz w:val="15"/>
                <w:szCs w:val="15"/>
                <w:color w:val="auto"/>
              </w:rPr>
            </w:pPr>
          </w:p>
        </w:tc>
        <w:tc>
          <w:tcPr>
            <w:tcW w:w="122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2"/>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3"/>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3100" w:type="dxa"/>
            <w:vAlign w:val="bottom"/>
            <w:gridSpan w:val="2"/>
          </w:tcPr>
          <w:p>
            <w:pPr>
              <w:ind w:left="380"/>
              <w:spacing w:after="0" w:line="182" w:lineRule="exact"/>
              <w:rPr>
                <w:sz w:val="20"/>
                <w:szCs w:val="20"/>
                <w:color w:val="auto"/>
              </w:rPr>
            </w:pPr>
            <w:r>
              <w:rPr>
                <w:rFonts w:ascii="Times New Roman" w:cs="Times New Roman" w:eastAsia="Times New Roman" w:hAnsi="Times New Roman"/>
                <w:sz w:val="17"/>
                <w:szCs w:val="17"/>
                <w:color w:val="0000FF"/>
              </w:rPr>
              <w:t>Executive Vice President of GP</w:t>
            </w:r>
          </w:p>
        </w:tc>
        <w:tc>
          <w:tcPr>
            <w:tcW w:w="0" w:type="dxa"/>
            <w:vAlign w:val="bottom"/>
          </w:tcPr>
          <w:p>
            <w:pPr>
              <w:spacing w:after="0"/>
              <w:rPr>
                <w:sz w:val="1"/>
                <w:szCs w:val="1"/>
                <w:color w:val="auto"/>
              </w:rPr>
            </w:pPr>
          </w:p>
        </w:tc>
      </w:tr>
      <w:tr>
        <w:trPr>
          <w:trHeight w:val="219"/>
        </w:trPr>
        <w:tc>
          <w:tcPr>
            <w:tcW w:w="14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02/13/2026</w:t>
            </w:r>
          </w:p>
        </w:tc>
        <w:tc>
          <w:tcPr>
            <w:tcW w:w="1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2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tcPr>
          <w:p>
            <w:pPr>
              <w:spacing w:after="0"/>
              <w:rPr>
                <w:sz w:val="15"/>
                <w:szCs w:val="15"/>
                <w:color w:val="auto"/>
              </w:rPr>
            </w:pPr>
          </w:p>
        </w:tc>
        <w:tc>
          <w:tcPr>
            <w:tcW w:w="12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31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3"/>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7" w:lineRule="exact"/>
        <w:rPr>
          <w:sz w:val="20"/>
          <w:szCs w:val="20"/>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derivative</w:t>
            </w:r>
          </w:p>
        </w:tc>
        <w:tc>
          <w:tcPr>
            <w:tcW w:w="32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6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6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Following</w:t>
            </w:r>
          </w:p>
        </w:tc>
        <w:tc>
          <w:tcPr>
            <w:tcW w:w="32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Reported</w:t>
            </w: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LTIP</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02/13/2026</w:t>
            </w:r>
          </w:p>
        </w:tc>
        <w:tc>
          <w:tcPr>
            <w:tcW w:w="1100" w:type="dxa"/>
            <w:vAlign w:val="bottom"/>
          </w:tcPr>
          <w:p>
            <w:pPr>
              <w:spacing w:after="0"/>
              <w:rPr>
                <w:sz w:val="15"/>
                <w:szCs w:val="15"/>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5,501</w:t>
            </w:r>
          </w:p>
        </w:tc>
        <w:tc>
          <w:tcPr>
            <w:tcW w:w="260" w:type="dxa"/>
            <w:vAlign w:val="bottom"/>
          </w:tcPr>
          <w:p>
            <w:pPr>
              <w:spacing w:after="0"/>
              <w:rPr>
                <w:sz w:val="15"/>
                <w:szCs w:val="15"/>
                <w:color w:val="auto"/>
              </w:rPr>
            </w:pPr>
          </w:p>
        </w:tc>
        <w:tc>
          <w:tcPr>
            <w:tcW w:w="8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(2)(3)</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5,501</w:t>
            </w:r>
          </w:p>
        </w:tc>
        <w:tc>
          <w:tcPr>
            <w:tcW w:w="7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0.25</w:t>
            </w:r>
          </w:p>
        </w:tc>
        <w:tc>
          <w:tcPr>
            <w:tcW w:w="6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94"/>
              </w:rPr>
              <w:t>222,070</w:t>
            </w:r>
          </w:p>
        </w:tc>
        <w:tc>
          <w:tcPr>
            <w:tcW w:w="320" w:type="dxa"/>
            <w:vAlign w:val="bottom"/>
            <w:vMerge w:val="restart"/>
          </w:tcPr>
          <w:p>
            <w:pPr>
              <w:jc w:val="right"/>
              <w:ind w:right="126"/>
              <w:spacing w:after="0"/>
              <w:rPr>
                <w:sz w:val="20"/>
                <w:szCs w:val="20"/>
                <w:color w:val="auto"/>
              </w:rPr>
            </w:pPr>
            <w:r>
              <w:rPr>
                <w:rFonts w:ascii="Times New Roman" w:cs="Times New Roman" w:eastAsia="Times New Roman" w:hAnsi="Times New Roman"/>
                <w:sz w:val="11"/>
                <w:szCs w:val="11"/>
                <w:color w:val="008000"/>
                <w:w w:val="93"/>
              </w:rPr>
              <w:t>(4)</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8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 Units</w:t>
            </w:r>
          </w:p>
        </w:tc>
        <w:tc>
          <w:tcPr>
            <w:tcW w:w="5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7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30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units of limited partnership interest in the Issuer earned (i.e., for which the performance-based hurdles have been met) pursuant to BXP, Inc.'s ("BXP's"), the Issuer's sole general partner's, 2023 Multi-Year Long-Term Incentive Program (the "Program").</w:t>
      </w:r>
    </w:p>
    <w:p>
      <w:pPr>
        <w:spacing w:after="0" w:line="15" w:lineRule="exact"/>
        <w:rPr>
          <w:rFonts w:ascii="Times New Roman" w:cs="Times New Roman" w:eastAsia="Times New Roman" w:hAnsi="Times New Roman"/>
          <w:sz w:val="13"/>
          <w:szCs w:val="13"/>
          <w:color w:val="008000"/>
        </w:rPr>
      </w:pPr>
    </w:p>
    <w:p>
      <w:pPr>
        <w:jc w:val="both"/>
        <w:ind w:left="40" w:right="180" w:firstLine="3"/>
        <w:spacing w:after="0" w:line="23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Conditioned upon minimum allocations to the capital accounts of the LTIP Units for federal income tax purposes, each LTIP Unit may be converted, at the election of the Issuer or the holder, into a common unit of limited partnership interest in the Issuer ("Common OP Unit"). Each Common OP Unit acquired upon conversion of an LTIP Unit may be presented for redemption, at the election of the holder, for cash equal to the then fair market value of a share of BXP's common stock, except that BXP may, at its election, acquire each Common OP Unit so presented for one share of BXP's common stock. LTIP Units have no expiration date.</w:t>
      </w:r>
    </w:p>
    <w:p>
      <w:pPr>
        <w:spacing w:after="0" w:line="28" w:lineRule="exact"/>
        <w:rPr>
          <w:rFonts w:ascii="Times New Roman" w:cs="Times New Roman" w:eastAsia="Times New Roman" w:hAnsi="Times New Roman"/>
          <w:sz w:val="13"/>
          <w:szCs w:val="13"/>
          <w:color w:val="008000"/>
        </w:rPr>
      </w:pPr>
    </w:p>
    <w:p>
      <w:pPr>
        <w:ind w:left="40" w:right="14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LTIP Units earned pursuant to the Program vested in full upon being earned. Each earned LTIP Unit and Common OP Unit acquired upon conversion of such LTIP Unit is subject to an additional post-vesting holding period pursuant to which such LTIP Unit and Common OP Unit generally may not be transferred, and the redemption right associated with the Common OP Unit may not be exercised, until one year after the vesting date.</w:t>
      </w:r>
    </w:p>
    <w:p>
      <w:pPr>
        <w:spacing w:after="0" w:line="25" w:lineRule="exact"/>
        <w:rPr>
          <w:rFonts w:ascii="Times New Roman" w:cs="Times New Roman" w:eastAsia="Times New Roman" w:hAnsi="Times New Roman"/>
          <w:sz w:val="13"/>
          <w:szCs w:val="13"/>
          <w:color w:val="008000"/>
        </w:rPr>
      </w:pPr>
    </w:p>
    <w:p>
      <w:pPr>
        <w:ind w:left="40" w:right="26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5,222 LTIP Units originally issued on February 7, 2023 pursuant to the Program that were previously reported as beneficially owned by the Reporting Person, but remained subject to certain performance-based vesting hurdles based on the Issuer's total shareholder return for the period from February 7, 2023 to February 6, 2026.</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Kelli A. DiLuglio,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02/17/2026</w:t>
            </w: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480" w:type="dxa"/>
            <w:vAlign w:val="bottom"/>
            <w:tcBorders>
              <w:top w:val="single" w:sz="8" w:color="auto"/>
              <w:bottom w:val="single" w:sz="8" w:color="auto"/>
            </w:tcBorders>
            <w:vMerge w:val="restart"/>
          </w:tcPr>
          <w:p>
            <w:pPr>
              <w:spacing w:after="0"/>
              <w:rPr>
                <w:sz w:val="7"/>
                <w:szCs w:val="7"/>
                <w:color w:val="auto"/>
              </w:rPr>
            </w:pPr>
          </w:p>
        </w:tc>
        <w:tc>
          <w:tcPr>
            <w:tcW w:w="5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140" w:type="dxa"/>
            <w:vAlign w:val="bottom"/>
            <w:tcBorders>
              <w:bottom w:val="single" w:sz="8" w:color="auto"/>
            </w:tcBorders>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17098" TargetMode="External"/><Relationship Id="rId14" Type="http://schemas.openxmlformats.org/officeDocument/2006/relationships/hyperlink" Target="http://www.sec.gov/cgi-bin/browse-edgar?action=getcompany&amp;CIK=00010431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2026-02-17T15:33:46Z</dcterms:created>
  <dcterms:modified xsi:type="dcterms:W3CDTF">2026-02-17T15:33:46Z</dcterms:modified>
</cp:coreProperties>
</file>