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9"/>
        </w:trPr>
        <w:tc>
          <w:tcPr>
            <w:tcW w:w="2520" w:type="dxa"/>
            <w:vAlign w:val="bottom"/>
            <w:gridSpan w:val="5"/>
          </w:tcPr>
          <w:p>
            <w:pPr>
              <w:spacing w:after="0"/>
              <w:rPr>
                <w:sz w:val="20"/>
                <w:szCs w:val="20"/>
                <w:color w:val="auto"/>
              </w:rPr>
            </w:pPr>
            <w:r>
              <w:rPr>
                <w:rFonts w:ascii="Arial" w:cs="Arial" w:eastAsia="Arial" w:hAnsi="Arial"/>
                <w:sz w:val="20"/>
                <w:szCs w:val="20"/>
                <w:color w:val="auto"/>
              </w:rPr>
              <w:t>SEC Form 3</w:t>
            </w:r>
          </w:p>
        </w:tc>
        <w:tc>
          <w:tcPr>
            <w:tcW w:w="7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2"/>
          </w:tcPr>
          <w:p>
            <w:pPr>
              <w:ind w:left="560"/>
              <w:spacing w:after="0" w:line="261" w:lineRule="exact"/>
              <w:rPr>
                <w:sz w:val="20"/>
                <w:szCs w:val="20"/>
                <w:color w:val="auto"/>
              </w:rPr>
            </w:pPr>
            <w:r>
              <w:rPr>
                <w:rFonts w:ascii="Arial" w:cs="Arial" w:eastAsia="Arial" w:hAnsi="Arial"/>
                <w:sz w:val="23"/>
                <w:szCs w:val="23"/>
                <w:b w:val="1"/>
                <w:bCs w:val="1"/>
                <w:color w:val="auto"/>
              </w:rPr>
              <w:t>FORM 3</w:t>
            </w:r>
          </w:p>
        </w:tc>
        <w:tc>
          <w:tcPr>
            <w:tcW w:w="6320" w:type="dxa"/>
            <w:vAlign w:val="bottom"/>
            <w:gridSpan w:val="6"/>
          </w:tcPr>
          <w:p>
            <w:pPr>
              <w:jc w:val="center"/>
              <w:ind w:right="380"/>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0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60" w:type="dxa"/>
            <w:vAlign w:val="bottom"/>
            <w:gridSpan w:val="4"/>
            <w:vMerge w:val="restart"/>
          </w:tcPr>
          <w:p>
            <w:pPr>
              <w:jc w:val="center"/>
              <w:ind w:right="2440"/>
              <w:spacing w:after="0" w:line="139"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6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320" w:type="dxa"/>
            <w:vAlign w:val="bottom"/>
            <w:gridSpan w:val="6"/>
            <w:vMerge w:val="restart"/>
          </w:tcPr>
          <w:p>
            <w:pPr>
              <w:jc w:val="center"/>
              <w:ind w:right="360"/>
              <w:spacing w:after="0" w:line="185" w:lineRule="exact"/>
              <w:rPr>
                <w:sz w:val="20"/>
                <w:szCs w:val="20"/>
                <w:color w:val="auto"/>
              </w:rPr>
            </w:pPr>
            <w:r>
              <w:rPr>
                <w:rFonts w:ascii="Arial" w:cs="Arial" w:eastAsia="Arial" w:hAnsi="Arial"/>
                <w:sz w:val="20"/>
                <w:szCs w:val="20"/>
                <w:b w:val="1"/>
                <w:bCs w:val="1"/>
                <w:color w:val="auto"/>
              </w:rPr>
              <w:t>INITIAL STATEMENT OF BENEFICIAL OWNERSHIP OF</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32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3"/>
              <w:spacing w:after="0"/>
              <w:rPr>
                <w:sz w:val="20"/>
                <w:szCs w:val="20"/>
                <w:color w:val="auto"/>
              </w:rPr>
            </w:pPr>
            <w:r>
              <w:rPr>
                <w:rFonts w:ascii="Arial" w:cs="Arial" w:eastAsia="Arial" w:hAnsi="Arial"/>
                <w:sz w:val="11"/>
                <w:szCs w:val="11"/>
                <w:color w:val="auto"/>
                <w:w w:val="98"/>
              </w:rPr>
              <w:t>3235-0104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60" w:type="dxa"/>
            <w:vAlign w:val="bottom"/>
            <w:gridSpan w:val="4"/>
            <w:vMerge w:val="restart"/>
          </w:tcPr>
          <w:p>
            <w:pPr>
              <w:jc w:val="center"/>
              <w:ind w:right="2440"/>
              <w:spacing w:after="0"/>
              <w:rPr>
                <w:sz w:val="20"/>
                <w:szCs w:val="20"/>
                <w:color w:val="auto"/>
              </w:rPr>
            </w:pPr>
            <w:r>
              <w:rPr>
                <w:rFonts w:ascii="Arial" w:cs="Arial" w:eastAsia="Arial" w:hAnsi="Arial"/>
                <w:sz w:val="20"/>
                <w:szCs w:val="20"/>
                <w:b w:val="1"/>
                <w:bCs w:val="1"/>
                <w:color w:val="auto"/>
              </w:rPr>
              <w:t>SECURITIES</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6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20" w:type="dxa"/>
            <w:vAlign w:val="bottom"/>
            <w:gridSpan w:val="5"/>
            <w:vMerge w:val="restart"/>
          </w:tcPr>
          <w:p>
            <w:pPr>
              <w:jc w:val="center"/>
              <w:ind w:right="1060"/>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20" w:type="dxa"/>
            <w:vAlign w:val="bottom"/>
            <w:gridSpan w:val="5"/>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20" w:type="dxa"/>
            <w:vAlign w:val="bottom"/>
            <w:gridSpan w:val="5"/>
            <w:vMerge w:val="continue"/>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20" w:type="dxa"/>
            <w:vAlign w:val="bottom"/>
            <w:gridSpan w:val="5"/>
          </w:tcPr>
          <w:p>
            <w:pPr>
              <w:jc w:val="center"/>
              <w:ind w:right="1060"/>
              <w:spacing w:after="0"/>
              <w:rPr>
                <w:sz w:val="20"/>
                <w:szCs w:val="20"/>
                <w:color w:val="auto"/>
              </w:rPr>
            </w:pPr>
            <w:r>
              <w:rPr>
                <w:rFonts w:ascii="Arial" w:cs="Arial" w:eastAsia="Arial" w:hAnsi="Arial"/>
                <w:sz w:val="13"/>
                <w:szCs w:val="13"/>
                <w:color w:val="auto"/>
                <w:w w:val="97"/>
              </w:rPr>
              <w:t>or Section 30(h) of the Investment Company Act of 1940</w:t>
            </w: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00" w:type="dxa"/>
            <w:vAlign w:val="bottom"/>
            <w:gridSpan w:val="4"/>
          </w:tcPr>
          <w:p>
            <w:pPr>
              <w:ind w:left="60"/>
              <w:spacing w:after="0" w:line="20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1"/>
                <w:szCs w:val="21"/>
                <w:color w:val="auto"/>
                <w:w w:val="96"/>
                <w:vertAlign w:val="superscript"/>
              </w:rPr>
              <w:t>*</w:t>
            </w:r>
          </w:p>
        </w:tc>
        <w:tc>
          <w:tcPr>
            <w:tcW w:w="700" w:type="dxa"/>
            <w:vAlign w:val="bottom"/>
          </w:tcPr>
          <w:p>
            <w:pPr>
              <w:spacing w:after="0"/>
              <w:rPr>
                <w:sz w:val="17"/>
                <w:szCs w:val="17"/>
                <w:color w:val="auto"/>
              </w:rPr>
            </w:pPr>
          </w:p>
        </w:tc>
        <w:tc>
          <w:tcPr>
            <w:tcW w:w="5620" w:type="dxa"/>
            <w:vAlign w:val="bottom"/>
            <w:gridSpan w:val="5"/>
          </w:tcPr>
          <w:p>
            <w:pPr>
              <w:ind w:left="140"/>
              <w:spacing w:after="0"/>
              <w:rPr>
                <w:sz w:val="20"/>
                <w:szCs w:val="20"/>
                <w:color w:val="auto"/>
              </w:rPr>
            </w:pPr>
            <w:r>
              <w:rPr>
                <w:rFonts w:ascii="Arial" w:cs="Arial" w:eastAsia="Arial" w:hAnsi="Arial"/>
                <w:sz w:val="13"/>
                <w:szCs w:val="13"/>
                <w:color w:val="auto"/>
              </w:rPr>
              <w:t xml:space="preserve">2. Date of Event Requiring  3.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rFonts w:ascii="Arial" w:cs="Arial" w:eastAsia="Arial" w:hAnsi="Arial"/>
                <w:sz w:val="20"/>
                <w:szCs w:val="20"/>
                <w:color w:val="0000EE"/>
              </w:rPr>
            </w:pPr>
            <w:hyperlink r:id="rId8">
              <w:r>
                <w:rPr>
                  <w:rFonts w:ascii="Arial" w:cs="Arial" w:eastAsia="Arial" w:hAnsi="Arial"/>
                  <w:sz w:val="20"/>
                  <w:szCs w:val="20"/>
                  <w:color w:val="0000EE"/>
                </w:rPr>
                <w:t>DIEHL RODNEY</w:t>
              </w:r>
            </w:hyperlink>
          </w:p>
        </w:tc>
        <w:tc>
          <w:tcPr>
            <w:tcW w:w="700" w:type="dxa"/>
            <w:vAlign w:val="bottom"/>
          </w:tcPr>
          <w:p>
            <w:pPr>
              <w:spacing w:after="0"/>
              <w:rPr>
                <w:sz w:val="10"/>
                <w:szCs w:val="10"/>
                <w:color w:val="auto"/>
              </w:rPr>
            </w:pPr>
          </w:p>
        </w:tc>
        <w:tc>
          <w:tcPr>
            <w:tcW w:w="1360" w:type="dxa"/>
            <w:vAlign w:val="bottom"/>
          </w:tcPr>
          <w:p>
            <w:pPr>
              <w:ind w:left="140"/>
              <w:spacing w:after="0" w:line="118" w:lineRule="exact"/>
              <w:rPr>
                <w:sz w:val="20"/>
                <w:szCs w:val="20"/>
                <w:color w:val="auto"/>
              </w:rPr>
            </w:pPr>
            <w:r>
              <w:rPr>
                <w:rFonts w:ascii="Arial" w:cs="Arial" w:eastAsia="Arial" w:hAnsi="Arial"/>
                <w:sz w:val="13"/>
                <w:szCs w:val="13"/>
                <w:color w:val="auto"/>
              </w:rPr>
              <w:t>Statement</w:t>
            </w:r>
          </w:p>
        </w:tc>
        <w:tc>
          <w:tcPr>
            <w:tcW w:w="360" w:type="dxa"/>
            <w:vAlign w:val="bottom"/>
          </w:tcPr>
          <w:p>
            <w:pPr>
              <w:spacing w:after="0"/>
              <w:rPr>
                <w:sz w:val="10"/>
                <w:szCs w:val="10"/>
                <w:color w:val="auto"/>
              </w:rPr>
            </w:pPr>
          </w:p>
        </w:tc>
        <w:tc>
          <w:tcPr>
            <w:tcW w:w="3900" w:type="dxa"/>
            <w:vAlign w:val="bottom"/>
            <w:gridSpan w:val="3"/>
          </w:tcPr>
          <w:p>
            <w:pPr>
              <w:ind w:left="60"/>
              <w:spacing w:after="0" w:line="102" w:lineRule="exact"/>
              <w:rPr>
                <w:rFonts w:ascii="Arial" w:cs="Arial" w:eastAsia="Arial" w:hAnsi="Arial"/>
                <w:sz w:val="11"/>
                <w:szCs w:val="11"/>
                <w:color w:val="0000EE"/>
              </w:rPr>
            </w:pPr>
            <w:hyperlink r:id="rId9">
              <w:r>
                <w:rPr>
                  <w:rFonts w:ascii="Arial" w:cs="Arial" w:eastAsia="Arial" w:hAnsi="Arial"/>
                  <w:sz w:val="11"/>
                  <w:szCs w:val="11"/>
                  <w:color w:val="0000EE"/>
                </w:rPr>
                <w:t xml:space="preserve">BOSTON PROPERTIES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BXP</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700" w:type="dxa"/>
            <w:vAlign w:val="bottom"/>
          </w:tcPr>
          <w:p>
            <w:pPr>
              <w:spacing w:after="0"/>
              <w:rPr>
                <w:sz w:val="5"/>
                <w:szCs w:val="5"/>
                <w:color w:val="auto"/>
              </w:rPr>
            </w:pPr>
          </w:p>
        </w:tc>
        <w:tc>
          <w:tcPr>
            <w:tcW w:w="1360" w:type="dxa"/>
            <w:vAlign w:val="bottom"/>
            <w:vMerge w:val="restart"/>
          </w:tcPr>
          <w:p>
            <w:pPr>
              <w:ind w:left="140"/>
              <w:spacing w:after="0" w:line="136" w:lineRule="exact"/>
              <w:rPr>
                <w:sz w:val="20"/>
                <w:szCs w:val="20"/>
                <w:color w:val="auto"/>
              </w:rPr>
            </w:pPr>
            <w:r>
              <w:rPr>
                <w:rFonts w:ascii="Arial" w:cs="Arial" w:eastAsia="Arial" w:hAnsi="Arial"/>
                <w:sz w:val="13"/>
                <w:szCs w:val="13"/>
                <w:color w:val="auto"/>
              </w:rPr>
              <w:t>(Month/Day/Year)</w:t>
            </w: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40" w:type="dxa"/>
            <w:vAlign w:val="bottom"/>
            <w:tcBorders>
              <w:bottom w:val="single" w:sz="8" w:color="0000EE"/>
            </w:tcBorders>
          </w:tcPr>
          <w:p>
            <w:pPr>
              <w:spacing w:after="0"/>
              <w:rPr>
                <w:sz w:val="5"/>
                <w:szCs w:val="5"/>
                <w:color w:val="auto"/>
              </w:rPr>
            </w:pPr>
          </w:p>
        </w:tc>
        <w:tc>
          <w:tcPr>
            <w:tcW w:w="1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360" w:type="dxa"/>
            <w:vAlign w:val="bottom"/>
          </w:tcPr>
          <w:p>
            <w:pPr>
              <w:ind w:left="140"/>
              <w:spacing w:after="0" w:line="125" w:lineRule="exact"/>
              <w:rPr>
                <w:sz w:val="20"/>
                <w:szCs w:val="20"/>
                <w:color w:val="auto"/>
              </w:rPr>
            </w:pPr>
            <w:r>
              <w:rPr>
                <w:rFonts w:ascii="Arial" w:cs="Arial" w:eastAsia="Arial" w:hAnsi="Arial"/>
                <w:sz w:val="14"/>
                <w:szCs w:val="14"/>
                <w:color w:val="0000FF"/>
              </w:rPr>
              <w:t>09/05/2023</w:t>
            </w:r>
          </w:p>
        </w:tc>
        <w:tc>
          <w:tcPr>
            <w:tcW w:w="36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40" w:type="dxa"/>
            <w:vAlign w:val="bottom"/>
            <w:tcBorders>
              <w:bottom w:val="single" w:sz="8" w:color="2C2C2C"/>
            </w:tcBorders>
          </w:tcPr>
          <w:p>
            <w:pPr>
              <w:spacing w:after="0"/>
              <w:rPr>
                <w:sz w:val="15"/>
                <w:szCs w:val="15"/>
                <w:color w:val="auto"/>
              </w:rPr>
            </w:pPr>
          </w:p>
        </w:tc>
        <w:tc>
          <w:tcPr>
            <w:tcW w:w="14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4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-1323975</wp:posOffset>
            </wp:positionV>
            <wp:extent cx="6995795" cy="5144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5795" cy="5144770"/>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131" w:lineRule="exact"/>
        <w:rPr>
          <w:sz w:val="20"/>
          <w:szCs w:val="20"/>
          <w:color w:val="auto"/>
        </w:rPr>
      </w:pPr>
    </w:p>
    <w:p>
      <w:pPr>
        <w:ind w:left="120"/>
        <w:spacing w:after="0"/>
        <w:tabs>
          <w:tab w:leader="none" w:pos="1140" w:val="left"/>
          <w:tab w:leader="none" w:pos="21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800 BOYLSTON STREET</w:t>
      </w:r>
    </w:p>
    <w:p>
      <w:pPr>
        <w:spacing w:after="0" w:line="20" w:lineRule="exact"/>
        <w:rPr>
          <w:sz w:val="20"/>
          <w:szCs w:val="20"/>
          <w:color w:val="auto"/>
        </w:rPr>
      </w:pPr>
      <w:r>
        <w:rPr>
          <w:sz w:val="20"/>
          <w:szCs w:val="20"/>
          <w:color w:val="auto"/>
        </w:rPr>
        <w:br w:type="column"/>
      </w:r>
    </w:p>
    <w:p>
      <w:pPr>
        <w:ind w:left="4" w:right="220" w:hanging="4"/>
        <w:spacing w:after="0" w:line="241"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tbl>
      <w:tblPr>
        <w:tblLayout w:type="fixed"/>
        <w:tblInd w:w="184"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 w:right="520" w:hanging="1"/>
        <w:spacing w:after="0" w:line="24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If Amendment, Date of Original Filed (Month/Day/Year)</w:t>
      </w:r>
    </w:p>
    <w:p>
      <w:pPr>
        <w:spacing w:after="0" w:line="219" w:lineRule="exact"/>
        <w:rPr>
          <w:rFonts w:ascii="Arial" w:cs="Arial" w:eastAsia="Arial" w:hAnsi="Arial"/>
          <w:sz w:val="13"/>
          <w:szCs w:val="13"/>
          <w:color w:val="auto"/>
        </w:rPr>
      </w:pPr>
    </w:p>
    <w:p>
      <w:pPr>
        <w:ind w:left="1" w:right="420" w:hanging="1"/>
        <w:spacing w:after="0" w:line="24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Individual or Joint/Group Filing (Check Applicable Line)</w:t>
      </w:r>
    </w:p>
    <w:p>
      <w:pPr>
        <w:spacing w:after="0" w:line="17" w:lineRule="exact"/>
        <w:rPr>
          <w:sz w:val="20"/>
          <w:szCs w:val="20"/>
          <w:color w:val="auto"/>
        </w:rPr>
      </w:pPr>
    </w:p>
    <w:p>
      <w:pPr>
        <w:sectPr>
          <w:pgSz w:w="11900" w:h="16838" w:orient="portrait"/>
          <w:cols w:equalWidth="0" w:num="3">
            <w:col w:w="4276" w:space="720"/>
            <w:col w:w="2884" w:space="399"/>
            <w:col w:w="2701"/>
          </w:cols>
          <w:pgMar w:left="460" w:top="220" w:right="45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60" w:type="dxa"/>
            <w:vAlign w:val="bottom"/>
            <w:gridSpan w:val="2"/>
          </w:tcPr>
          <w:p>
            <w:pPr>
              <w:ind w:left="2640"/>
              <w:spacing w:after="0"/>
              <w:rPr>
                <w:sz w:val="20"/>
                <w:szCs w:val="20"/>
                <w:color w:val="auto"/>
              </w:rPr>
            </w:pPr>
            <w:r>
              <w:rPr>
                <w:rFonts w:ascii="Arial" w:cs="Arial" w:eastAsia="Arial" w:hAnsi="Arial"/>
                <w:sz w:val="16"/>
                <w:szCs w:val="16"/>
                <w:color w:val="0000FF"/>
              </w:rPr>
              <w:t>Senior Vice President</w:t>
            </w:r>
          </w:p>
        </w:tc>
        <w:tc>
          <w:tcPr>
            <w:tcW w:w="2900" w:type="dxa"/>
            <w:vAlign w:val="bottom"/>
            <w:gridSpan w:val="2"/>
          </w:tcPr>
          <w:p>
            <w:pPr>
              <w:ind w:left="3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Arial" w:cs="Arial" w:eastAsia="Arial" w:hAnsi="Arial"/>
                <w:sz w:val="16"/>
                <w:szCs w:val="16"/>
                <w:color w:val="0000FF"/>
              </w:rPr>
              <w:t>BOSTON</w:t>
            </w:r>
          </w:p>
        </w:tc>
        <w:tc>
          <w:tcPr>
            <w:tcW w:w="980" w:type="dxa"/>
            <w:vAlign w:val="bottom"/>
          </w:tcPr>
          <w:p>
            <w:pPr>
              <w:ind w:left="200"/>
              <w:spacing w:after="0"/>
              <w:rPr>
                <w:sz w:val="20"/>
                <w:szCs w:val="20"/>
                <w:color w:val="auto"/>
              </w:rPr>
            </w:pPr>
            <w:r>
              <w:rPr>
                <w:rFonts w:ascii="Arial" w:cs="Arial" w:eastAsia="Arial" w:hAnsi="Arial"/>
                <w:sz w:val="16"/>
                <w:szCs w:val="16"/>
                <w:color w:val="0000FF"/>
              </w:rPr>
              <w:t>MA</w:t>
            </w:r>
          </w:p>
        </w:tc>
        <w:tc>
          <w:tcPr>
            <w:tcW w:w="1280" w:type="dxa"/>
            <w:vAlign w:val="bottom"/>
          </w:tcPr>
          <w:p>
            <w:pPr>
              <w:ind w:left="260"/>
              <w:spacing w:after="0"/>
              <w:rPr>
                <w:sz w:val="20"/>
                <w:szCs w:val="20"/>
                <w:color w:val="auto"/>
              </w:rPr>
            </w:pPr>
            <w:r>
              <w:rPr>
                <w:rFonts w:ascii="Arial" w:cs="Arial" w:eastAsia="Arial" w:hAnsi="Arial"/>
                <w:sz w:val="16"/>
                <w:szCs w:val="16"/>
                <w:color w:val="0000FF"/>
              </w:rPr>
              <w:t>02199</w:t>
            </w:r>
          </w:p>
        </w:tc>
        <w:tc>
          <w:tcPr>
            <w:tcW w:w="3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900" w:type="dxa"/>
            <w:vAlign w:val="bottom"/>
            <w:gridSpan w:val="2"/>
          </w:tcPr>
          <w:p>
            <w:pPr>
              <w:ind w:left="660"/>
              <w:spacing w:after="0"/>
              <w:rPr>
                <w:sz w:val="20"/>
                <w:szCs w:val="20"/>
                <w:color w:val="auto"/>
              </w:rPr>
            </w:pPr>
            <w:r>
              <w:rPr>
                <w:rFonts w:ascii="Arial" w:cs="Arial" w:eastAsia="Arial" w:hAnsi="Arial"/>
                <w:sz w:val="13"/>
                <w:szCs w:val="13"/>
                <w:color w:val="auto"/>
              </w:rPr>
              <w:t>Form filed by More than One</w:t>
            </w: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5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900" w:type="dxa"/>
            <w:vAlign w:val="bottom"/>
            <w:gridSpan w:val="2"/>
          </w:tcPr>
          <w:p>
            <w:pPr>
              <w:ind w:left="660"/>
              <w:spacing w:after="0" w:line="148" w:lineRule="exact"/>
              <w:rPr>
                <w:sz w:val="20"/>
                <w:szCs w:val="20"/>
                <w:color w:val="auto"/>
              </w:rPr>
            </w:pPr>
            <w:r>
              <w:rPr>
                <w:rFonts w:ascii="Arial" w:cs="Arial" w:eastAsia="Arial" w:hAnsi="Arial"/>
                <w:sz w:val="13"/>
                <w:szCs w:val="13"/>
                <w:color w:val="auto"/>
              </w:rPr>
              <w:t>Reporting Person</w:t>
            </w: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200"/>
              <w:spacing w:after="0"/>
              <w:rPr>
                <w:sz w:val="20"/>
                <w:szCs w:val="20"/>
                <w:color w:val="auto"/>
              </w:rPr>
            </w:pPr>
            <w:r>
              <w:rPr>
                <w:rFonts w:ascii="Arial" w:cs="Arial" w:eastAsia="Arial" w:hAnsi="Arial"/>
                <w:sz w:val="13"/>
                <w:szCs w:val="13"/>
                <w:color w:val="auto"/>
              </w:rPr>
              <w:t>(State)</w:t>
            </w:r>
          </w:p>
        </w:tc>
        <w:tc>
          <w:tcPr>
            <w:tcW w:w="4860" w:type="dxa"/>
            <w:vAlign w:val="bottom"/>
            <w:gridSpan w:val="2"/>
          </w:tcPr>
          <w:p>
            <w:pPr>
              <w:ind w:left="260"/>
              <w:spacing w:after="0"/>
              <w:rPr>
                <w:sz w:val="20"/>
                <w:szCs w:val="20"/>
                <w:color w:val="auto"/>
              </w:rPr>
            </w:pPr>
            <w:r>
              <w:rPr>
                <w:rFonts w:ascii="Arial" w:cs="Arial" w:eastAsia="Arial" w:hAnsi="Arial"/>
                <w:sz w:val="13"/>
                <w:szCs w:val="13"/>
                <w:color w:val="auto"/>
              </w:rPr>
              <w:t>(Zip)</w:t>
            </w:r>
          </w:p>
        </w:tc>
        <w:tc>
          <w:tcPr>
            <w:tcW w:w="1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tcPr>
          <w:p>
            <w:pPr>
              <w:spacing w:after="0"/>
              <w:rPr>
                <w:sz w:val="10"/>
                <w:szCs w:val="10"/>
                <w:color w:val="auto"/>
              </w:rPr>
            </w:pPr>
          </w:p>
        </w:tc>
        <w:tc>
          <w:tcPr>
            <w:tcW w:w="4860" w:type="dxa"/>
            <w:vAlign w:val="bottom"/>
            <w:tcBorders>
              <w:bottom w:val="single" w:sz="8" w:color="2C2C2C"/>
            </w:tcBorders>
            <w:gridSpan w:val="2"/>
          </w:tcPr>
          <w:p>
            <w:pPr>
              <w:spacing w:after="0"/>
              <w:rPr>
                <w:sz w:val="10"/>
                <w:szCs w:val="10"/>
                <w:color w:val="auto"/>
              </w:rPr>
            </w:pPr>
          </w:p>
        </w:tc>
        <w:tc>
          <w:tcPr>
            <w:tcW w:w="28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1280" w:type="dxa"/>
            <w:vAlign w:val="bottom"/>
            <w:tcBorders>
              <w:top w:val="single" w:sz="8" w:color="2C2C2C"/>
            </w:tcBorders>
          </w:tcPr>
          <w:p>
            <w:pPr>
              <w:spacing w:after="0"/>
              <w:rPr>
                <w:sz w:val="21"/>
                <w:szCs w:val="21"/>
                <w:color w:val="auto"/>
              </w:rPr>
            </w:pPr>
          </w:p>
        </w:tc>
        <w:tc>
          <w:tcPr>
            <w:tcW w:w="4860" w:type="dxa"/>
            <w:vAlign w:val="bottom"/>
            <w:tcBorders>
              <w:top w:val="single" w:sz="8" w:color="2C2C2C"/>
            </w:tcBorders>
            <w:gridSpan w:val="2"/>
          </w:tcPr>
          <w:p>
            <w:pPr>
              <w:ind w:left="160"/>
              <w:spacing w:after="0"/>
              <w:rPr>
                <w:sz w:val="20"/>
                <w:szCs w:val="20"/>
                <w:color w:val="auto"/>
              </w:rPr>
            </w:pPr>
            <w:r>
              <w:rPr>
                <w:rFonts w:ascii="Arial" w:cs="Arial" w:eastAsia="Arial" w:hAnsi="Arial"/>
                <w:sz w:val="16"/>
                <w:szCs w:val="16"/>
                <w:b w:val="1"/>
                <w:bCs w:val="1"/>
                <w:color w:val="auto"/>
              </w:rPr>
              <w:t>Table I - Non-Derivative Securities Beneficially Owned</w:t>
            </w:r>
          </w:p>
        </w:tc>
        <w:tc>
          <w:tcPr>
            <w:tcW w:w="2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r>
      <w:tr>
        <w:trPr>
          <w:trHeight w:val="34"/>
        </w:trPr>
        <w:tc>
          <w:tcPr>
            <w:tcW w:w="20" w:type="dxa"/>
            <w:vAlign w:val="bottom"/>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358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8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r>
      <w:tr>
        <w:trPr>
          <w:trHeight w:val="174"/>
        </w:trPr>
        <w:tc>
          <w:tcPr>
            <w:tcW w:w="20" w:type="dxa"/>
            <w:vAlign w:val="bottom"/>
          </w:tcPr>
          <w:p>
            <w:pPr>
              <w:spacing w:after="0"/>
              <w:rPr>
                <w:sz w:val="15"/>
                <w:szCs w:val="15"/>
                <w:color w:val="auto"/>
              </w:rPr>
            </w:pPr>
          </w:p>
        </w:tc>
        <w:tc>
          <w:tcPr>
            <w:tcW w:w="19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4)</w:t>
            </w:r>
          </w:p>
        </w:tc>
        <w:tc>
          <w:tcPr>
            <w:tcW w:w="1280" w:type="dxa"/>
            <w:vAlign w:val="bottom"/>
          </w:tcPr>
          <w:p>
            <w:pPr>
              <w:spacing w:after="0"/>
              <w:rPr>
                <w:sz w:val="15"/>
                <w:szCs w:val="15"/>
                <w:color w:val="auto"/>
              </w:rPr>
            </w:pPr>
          </w:p>
        </w:tc>
        <w:tc>
          <w:tcPr>
            <w:tcW w:w="3580" w:type="dxa"/>
            <w:vAlign w:val="bottom"/>
          </w:tcPr>
          <w:p>
            <w:pPr>
              <w:ind w:left="1680"/>
              <w:spacing w:after="0"/>
              <w:rPr>
                <w:sz w:val="20"/>
                <w:szCs w:val="20"/>
                <w:color w:val="auto"/>
              </w:rPr>
            </w:pPr>
            <w:r>
              <w:rPr>
                <w:rFonts w:ascii="Arial" w:cs="Arial" w:eastAsia="Arial" w:hAnsi="Arial"/>
                <w:sz w:val="13"/>
                <w:szCs w:val="13"/>
                <w:b w:val="1"/>
                <w:bCs w:val="1"/>
                <w:color w:val="auto"/>
              </w:rPr>
              <w:t>2. Amount of Securities</w:t>
            </w:r>
          </w:p>
        </w:tc>
        <w:tc>
          <w:tcPr>
            <w:tcW w:w="1280" w:type="dxa"/>
            <w:vAlign w:val="bottom"/>
          </w:tcPr>
          <w:p>
            <w:pPr>
              <w:ind w:left="180"/>
              <w:spacing w:after="0"/>
              <w:rPr>
                <w:sz w:val="20"/>
                <w:szCs w:val="20"/>
                <w:color w:val="auto"/>
              </w:rPr>
            </w:pPr>
            <w:r>
              <w:rPr>
                <w:rFonts w:ascii="Arial" w:cs="Arial" w:eastAsia="Arial" w:hAnsi="Arial"/>
                <w:sz w:val="13"/>
                <w:szCs w:val="13"/>
                <w:b w:val="1"/>
                <w:bCs w:val="1"/>
                <w:color w:val="auto"/>
              </w:rPr>
              <w:t>3. Ownership</w:t>
            </w:r>
          </w:p>
        </w:tc>
        <w:tc>
          <w:tcPr>
            <w:tcW w:w="2900" w:type="dxa"/>
            <w:vAlign w:val="bottom"/>
            <w:gridSpan w:val="2"/>
          </w:tcPr>
          <w:p>
            <w:pPr>
              <w:ind w:left="120"/>
              <w:spacing w:after="0"/>
              <w:rPr>
                <w:sz w:val="20"/>
                <w:szCs w:val="20"/>
                <w:color w:val="auto"/>
              </w:rPr>
            </w:pPr>
            <w:r>
              <w:rPr>
                <w:rFonts w:ascii="Arial" w:cs="Arial" w:eastAsia="Arial" w:hAnsi="Arial"/>
                <w:sz w:val="13"/>
                <w:szCs w:val="13"/>
                <w:b w:val="1"/>
                <w:bCs w:val="1"/>
                <w:color w:val="auto"/>
              </w:rPr>
              <w:t>4. Nature of Indirect Beneficial Ownership</w:t>
            </w: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580" w:type="dxa"/>
            <w:vAlign w:val="bottom"/>
          </w:tcPr>
          <w:p>
            <w:pPr>
              <w:ind w:left="1680"/>
              <w:spacing w:after="0" w:line="139" w:lineRule="exact"/>
              <w:rPr>
                <w:sz w:val="20"/>
                <w:szCs w:val="20"/>
                <w:color w:val="auto"/>
              </w:rPr>
            </w:pPr>
            <w:r>
              <w:rPr>
                <w:rFonts w:ascii="Arial" w:cs="Arial" w:eastAsia="Arial" w:hAnsi="Arial"/>
                <w:sz w:val="13"/>
                <w:szCs w:val="13"/>
                <w:b w:val="1"/>
                <w:bCs w:val="1"/>
                <w:color w:val="auto"/>
              </w:rPr>
              <w:t>Beneficially Owned (Instr. 4)</w:t>
            </w:r>
          </w:p>
        </w:tc>
        <w:tc>
          <w:tcPr>
            <w:tcW w:w="1280" w:type="dxa"/>
            <w:vAlign w:val="bottom"/>
          </w:tcPr>
          <w:p>
            <w:pPr>
              <w:ind w:left="180"/>
              <w:spacing w:after="0" w:line="139" w:lineRule="exact"/>
              <w:rPr>
                <w:sz w:val="20"/>
                <w:szCs w:val="20"/>
                <w:color w:val="auto"/>
              </w:rPr>
            </w:pPr>
            <w:r>
              <w:rPr>
                <w:rFonts w:ascii="Arial" w:cs="Arial" w:eastAsia="Arial" w:hAnsi="Arial"/>
                <w:sz w:val="13"/>
                <w:szCs w:val="13"/>
                <w:b w:val="1"/>
                <w:bCs w:val="1"/>
                <w:color w:val="auto"/>
              </w:rPr>
              <w:t>Form: Direct (D)</w:t>
            </w:r>
          </w:p>
        </w:tc>
        <w:tc>
          <w:tcPr>
            <w:tcW w:w="2900" w:type="dxa"/>
            <w:vAlign w:val="bottom"/>
            <w:gridSpan w:val="2"/>
          </w:tcPr>
          <w:p>
            <w:pPr>
              <w:ind w:left="120"/>
              <w:spacing w:after="0" w:line="139" w:lineRule="exact"/>
              <w:rPr>
                <w:sz w:val="20"/>
                <w:szCs w:val="20"/>
                <w:color w:val="auto"/>
              </w:rPr>
            </w:pPr>
            <w:r>
              <w:rPr>
                <w:rFonts w:ascii="Arial" w:cs="Arial" w:eastAsia="Arial" w:hAnsi="Arial"/>
                <w:sz w:val="13"/>
                <w:szCs w:val="13"/>
                <w:b w:val="1"/>
                <w:bCs w:val="1"/>
                <w:color w:val="auto"/>
              </w:rPr>
              <w:t>(Instr. 5)</w:t>
            </w: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80" w:type="dxa"/>
            <w:vAlign w:val="bottom"/>
          </w:tcPr>
          <w:p>
            <w:pPr>
              <w:ind w:left="180"/>
              <w:spacing w:after="0" w:line="139" w:lineRule="exact"/>
              <w:rPr>
                <w:sz w:val="20"/>
                <w:szCs w:val="20"/>
                <w:color w:val="auto"/>
              </w:rPr>
            </w:pPr>
            <w:r>
              <w:rPr>
                <w:rFonts w:ascii="Arial" w:cs="Arial" w:eastAsia="Arial" w:hAnsi="Arial"/>
                <w:sz w:val="13"/>
                <w:szCs w:val="13"/>
                <w:b w:val="1"/>
                <w:bCs w:val="1"/>
                <w:color w:val="auto"/>
              </w:rPr>
              <w:t>or Indirect (I)</w:t>
            </w: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80" w:type="dxa"/>
            <w:vAlign w:val="bottom"/>
          </w:tcPr>
          <w:p>
            <w:pPr>
              <w:ind w:left="180"/>
              <w:spacing w:after="0"/>
              <w:rPr>
                <w:sz w:val="20"/>
                <w:szCs w:val="20"/>
                <w:color w:val="auto"/>
              </w:rPr>
            </w:pPr>
            <w:r>
              <w:rPr>
                <w:rFonts w:ascii="Arial" w:cs="Arial" w:eastAsia="Arial" w:hAnsi="Arial"/>
                <w:sz w:val="13"/>
                <w:szCs w:val="13"/>
                <w:b w:val="1"/>
                <w:bCs w:val="1"/>
                <w:color w:val="auto"/>
              </w:rPr>
              <w:t>(Instr. 5)</w:t>
            </w:r>
          </w:p>
        </w:tc>
        <w:tc>
          <w:tcPr>
            <w:tcW w:w="28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35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760" w:type="dxa"/>
            <w:vAlign w:val="bottom"/>
          </w:tcPr>
          <w:p>
            <w:pPr>
              <w:ind w:left="60"/>
              <w:spacing w:after="0"/>
              <w:rPr>
                <w:sz w:val="20"/>
                <w:szCs w:val="20"/>
                <w:color w:val="auto"/>
              </w:rPr>
            </w:pPr>
            <w:r>
              <w:rPr>
                <w:rFonts w:ascii="Arial" w:cs="Arial" w:eastAsia="Arial" w:hAnsi="Arial"/>
                <w:sz w:val="16"/>
                <w:szCs w:val="16"/>
                <w:color w:val="0000FF"/>
              </w:rPr>
              <w:t>Common Stock, par value $0.01</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60" w:type="dxa"/>
            <w:vAlign w:val="bottom"/>
          </w:tcPr>
          <w:p>
            <w:pPr>
              <w:jc w:val="right"/>
              <w:ind w:right="885"/>
              <w:spacing w:after="0"/>
              <w:rPr>
                <w:sz w:val="20"/>
                <w:szCs w:val="20"/>
                <w:color w:val="auto"/>
              </w:rPr>
            </w:pPr>
            <w:r>
              <w:rPr>
                <w:rFonts w:ascii="Arial" w:cs="Arial" w:eastAsia="Arial" w:hAnsi="Arial"/>
                <w:sz w:val="16"/>
                <w:szCs w:val="16"/>
                <w:color w:val="0000FF"/>
              </w:rPr>
              <w:t>11,436</w:t>
            </w:r>
          </w:p>
        </w:tc>
        <w:tc>
          <w:tcPr>
            <w:tcW w:w="720" w:type="dxa"/>
            <w:vAlign w:val="bottom"/>
            <w:gridSpan w:val="2"/>
          </w:tcPr>
          <w:p>
            <w:pPr>
              <w:ind w:left="400"/>
              <w:spacing w:after="0"/>
              <w:rPr>
                <w:sz w:val="20"/>
                <w:szCs w:val="20"/>
                <w:color w:val="auto"/>
              </w:rPr>
            </w:pPr>
            <w:r>
              <w:rPr>
                <w:rFonts w:ascii="Arial" w:cs="Arial" w:eastAsia="Arial" w:hAnsi="Arial"/>
                <w:sz w:val="16"/>
                <w:szCs w:val="16"/>
                <w:color w:val="0000FF"/>
              </w:rPr>
              <w:t>D</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300" w:type="dxa"/>
            <w:vAlign w:val="bottom"/>
            <w:tcBorders>
              <w:bottom w:val="single" w:sz="8" w:color="2C2C2C"/>
            </w:tcBorders>
            <w:gridSpan w:val="4"/>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27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4360" w:type="dxa"/>
            <w:vAlign w:val="bottom"/>
            <w:tcBorders>
              <w:top w:val="single" w:sz="8" w:color="2C2C2C"/>
            </w:tcBorders>
            <w:gridSpan w:val="5"/>
          </w:tcPr>
          <w:p>
            <w:pPr>
              <w:ind w:left="140"/>
              <w:spacing w:after="0"/>
              <w:rPr>
                <w:sz w:val="20"/>
                <w:szCs w:val="20"/>
                <w:color w:val="auto"/>
              </w:rPr>
            </w:pPr>
            <w:r>
              <w:rPr>
                <w:rFonts w:ascii="Arial" w:cs="Arial" w:eastAsia="Arial" w:hAnsi="Arial"/>
                <w:sz w:val="16"/>
                <w:szCs w:val="16"/>
                <w:b w:val="1"/>
                <w:bCs w:val="1"/>
                <w:color w:val="auto"/>
              </w:rPr>
              <w:t>Table II - Derivative Securities Beneficially Owned</w:t>
            </w:r>
          </w:p>
        </w:tc>
        <w:tc>
          <w:tcPr>
            <w:tcW w:w="7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154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000" w:type="dxa"/>
            <w:vAlign w:val="bottom"/>
            <w:gridSpan w:val="6"/>
          </w:tcPr>
          <w:p>
            <w:pPr>
              <w:ind w:left="4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ind w:left="60"/>
              <w:spacing w:after="0"/>
              <w:rPr>
                <w:sz w:val="20"/>
                <w:szCs w:val="20"/>
                <w:color w:val="auto"/>
              </w:rPr>
            </w:pPr>
            <w:r>
              <w:rPr>
                <w:rFonts w:ascii="Arial" w:cs="Arial" w:eastAsia="Arial" w:hAnsi="Arial"/>
                <w:sz w:val="13"/>
                <w:szCs w:val="13"/>
                <w:b w:val="1"/>
                <w:bCs w:val="1"/>
                <w:color w:val="auto"/>
              </w:rPr>
              <w:t>1. Title of Derivative Security (Instr. 4)</w:t>
            </w:r>
          </w:p>
        </w:tc>
        <w:tc>
          <w:tcPr>
            <w:tcW w:w="64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Arial" w:cs="Arial" w:eastAsia="Arial" w:hAnsi="Arial"/>
                <w:sz w:val="13"/>
                <w:szCs w:val="13"/>
                <w:b w:val="1"/>
                <w:bCs w:val="1"/>
                <w:color w:val="auto"/>
              </w:rPr>
              <w:t>2. Date Exercisable and</w:t>
            </w:r>
          </w:p>
        </w:tc>
        <w:tc>
          <w:tcPr>
            <w:tcW w:w="2060" w:type="dxa"/>
            <w:vAlign w:val="bottom"/>
          </w:tcPr>
          <w:p>
            <w:pPr>
              <w:ind w:left="80"/>
              <w:spacing w:after="0"/>
              <w:rPr>
                <w:sz w:val="20"/>
                <w:szCs w:val="20"/>
                <w:color w:val="auto"/>
              </w:rPr>
            </w:pPr>
            <w:r>
              <w:rPr>
                <w:rFonts w:ascii="Arial" w:cs="Arial" w:eastAsia="Arial" w:hAnsi="Arial"/>
                <w:sz w:val="13"/>
                <w:szCs w:val="13"/>
                <w:b w:val="1"/>
                <w:bCs w:val="1"/>
                <w:color w:val="auto"/>
                <w:w w:val="96"/>
              </w:rPr>
              <w:t>3. Title and Amount of Securities</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b w:val="1"/>
                <w:bCs w:val="1"/>
                <w:color w:val="auto"/>
              </w:rPr>
              <w:t>4.</w:t>
            </w:r>
          </w:p>
        </w:tc>
        <w:tc>
          <w:tcPr>
            <w:tcW w:w="860" w:type="dxa"/>
            <w:vAlign w:val="bottom"/>
          </w:tcPr>
          <w:p>
            <w:pPr>
              <w:ind w:left="60"/>
              <w:spacing w:after="0"/>
              <w:rPr>
                <w:sz w:val="20"/>
                <w:szCs w:val="20"/>
                <w:color w:val="auto"/>
              </w:rPr>
            </w:pPr>
            <w:r>
              <w:rPr>
                <w:rFonts w:ascii="Arial" w:cs="Arial" w:eastAsia="Arial" w:hAnsi="Arial"/>
                <w:sz w:val="13"/>
                <w:szCs w:val="13"/>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3"/>
                <w:szCs w:val="13"/>
                <w:b w:val="1"/>
                <w:bCs w:val="1"/>
                <w:color w:val="auto"/>
              </w:rPr>
              <w:t>6. Nature of Indirect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rPr>
              <w:t>Expiration Date</w:t>
            </w:r>
          </w:p>
        </w:tc>
        <w:tc>
          <w:tcPr>
            <w:tcW w:w="2780" w:type="dxa"/>
            <w:vAlign w:val="bottom"/>
            <w:gridSpan w:val="3"/>
          </w:tcPr>
          <w:p>
            <w:pPr>
              <w:ind w:left="80"/>
              <w:spacing w:after="0" w:line="139" w:lineRule="exact"/>
              <w:rPr>
                <w:sz w:val="20"/>
                <w:szCs w:val="20"/>
                <w:color w:val="auto"/>
              </w:rPr>
            </w:pPr>
            <w:r>
              <w:rPr>
                <w:rFonts w:ascii="Arial" w:cs="Arial" w:eastAsia="Arial" w:hAnsi="Arial"/>
                <w:sz w:val="13"/>
                <w:szCs w:val="13"/>
                <w:b w:val="1"/>
                <w:bCs w:val="1"/>
                <w:color w:val="auto"/>
              </w:rPr>
              <w:t>Underlying Derivative Security (Instr. 4)</w:t>
            </w:r>
          </w:p>
        </w:tc>
        <w:tc>
          <w:tcPr>
            <w:tcW w:w="780" w:type="dxa"/>
            <w:vAlign w:val="bottom"/>
          </w:tcPr>
          <w:p>
            <w:pPr>
              <w:spacing w:after="0" w:line="139" w:lineRule="exact"/>
              <w:rPr>
                <w:sz w:val="20"/>
                <w:szCs w:val="20"/>
                <w:color w:val="auto"/>
              </w:rPr>
            </w:pPr>
            <w:r>
              <w:rPr>
                <w:rFonts w:ascii="Arial" w:cs="Arial" w:eastAsia="Arial" w:hAnsi="Arial"/>
                <w:sz w:val="13"/>
                <w:szCs w:val="13"/>
                <w:b w:val="1"/>
                <w:bCs w:val="1"/>
                <w:color w:val="auto"/>
              </w:rPr>
              <w:t>Conversion</w:t>
            </w:r>
          </w:p>
        </w:tc>
        <w:tc>
          <w:tcPr>
            <w:tcW w:w="860" w:type="dxa"/>
            <w:vAlign w:val="bottom"/>
          </w:tcPr>
          <w:p>
            <w:pPr>
              <w:ind w:left="60"/>
              <w:spacing w:after="0" w:line="139" w:lineRule="exact"/>
              <w:rPr>
                <w:sz w:val="20"/>
                <w:szCs w:val="20"/>
                <w:color w:val="auto"/>
              </w:rPr>
            </w:pPr>
            <w:r>
              <w:rPr>
                <w:rFonts w:ascii="Arial" w:cs="Arial" w:eastAsia="Arial" w:hAnsi="Arial"/>
                <w:sz w:val="13"/>
                <w:szCs w:val="13"/>
                <w:b w:val="1"/>
                <w:bCs w:val="1"/>
                <w:color w:val="auto"/>
              </w:rPr>
              <w:t>Ownership</w:t>
            </w:r>
          </w:p>
        </w:tc>
        <w:tc>
          <w:tcPr>
            <w:tcW w:w="1560" w:type="dxa"/>
            <w:vAlign w:val="bottom"/>
            <w:gridSpan w:val="2"/>
          </w:tcPr>
          <w:p>
            <w:pPr>
              <w:ind w:left="80"/>
              <w:spacing w:after="0" w:line="139" w:lineRule="exact"/>
              <w:rPr>
                <w:sz w:val="20"/>
                <w:szCs w:val="20"/>
                <w:color w:val="auto"/>
              </w:rPr>
            </w:pPr>
            <w:r>
              <w:rPr>
                <w:rFonts w:ascii="Arial" w:cs="Arial" w:eastAsia="Arial" w:hAnsi="Arial"/>
                <w:sz w:val="13"/>
                <w:szCs w:val="13"/>
                <w:b w:val="1"/>
                <w:bCs w:val="1"/>
                <w:color w:val="auto"/>
              </w:rPr>
              <w:t>Beneficial Ownership</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rPr>
              <w:t>(Month/Day/Year)</w:t>
            </w:r>
          </w:p>
        </w:tc>
        <w:tc>
          <w:tcPr>
            <w:tcW w:w="2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line="139" w:lineRule="exact"/>
              <w:rPr>
                <w:sz w:val="20"/>
                <w:szCs w:val="20"/>
                <w:color w:val="auto"/>
              </w:rPr>
            </w:pPr>
            <w:r>
              <w:rPr>
                <w:rFonts w:ascii="Arial" w:cs="Arial" w:eastAsia="Arial" w:hAnsi="Arial"/>
                <w:sz w:val="13"/>
                <w:szCs w:val="13"/>
                <w:b w:val="1"/>
                <w:bCs w:val="1"/>
                <w:color w:val="auto"/>
              </w:rPr>
              <w:t>or Exercise</w:t>
            </w:r>
          </w:p>
        </w:tc>
        <w:tc>
          <w:tcPr>
            <w:tcW w:w="860" w:type="dxa"/>
            <w:vAlign w:val="bottom"/>
          </w:tcPr>
          <w:p>
            <w:pPr>
              <w:ind w:left="60"/>
              <w:spacing w:after="0" w:line="139" w:lineRule="exact"/>
              <w:rPr>
                <w:sz w:val="20"/>
                <w:szCs w:val="20"/>
                <w:color w:val="auto"/>
              </w:rPr>
            </w:pPr>
            <w:r>
              <w:rPr>
                <w:rFonts w:ascii="Arial" w:cs="Arial" w:eastAsia="Arial" w:hAnsi="Arial"/>
                <w:sz w:val="13"/>
                <w:szCs w:val="13"/>
                <w:b w:val="1"/>
                <w:bCs w:val="1"/>
                <w:color w:val="auto"/>
              </w:rPr>
              <w:t>Form:</w:t>
            </w:r>
          </w:p>
        </w:tc>
        <w:tc>
          <w:tcPr>
            <w:tcW w:w="1560" w:type="dxa"/>
            <w:vAlign w:val="bottom"/>
            <w:gridSpan w:val="2"/>
          </w:tcPr>
          <w:p>
            <w:pPr>
              <w:ind w:left="80"/>
              <w:spacing w:after="0" w:line="139" w:lineRule="exact"/>
              <w:rPr>
                <w:sz w:val="20"/>
                <w:szCs w:val="20"/>
                <w:color w:val="auto"/>
              </w:rPr>
            </w:pPr>
            <w:r>
              <w:rPr>
                <w:rFonts w:ascii="Arial" w:cs="Arial" w:eastAsia="Arial" w:hAnsi="Arial"/>
                <w:sz w:val="13"/>
                <w:szCs w:val="13"/>
                <w:b w:val="1"/>
                <w:bCs w:val="1"/>
                <w:color w:val="auto"/>
              </w:rPr>
              <w:t>(Instr. 5)</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vMerge w:val="restart"/>
          </w:tcPr>
          <w:p>
            <w:pPr>
              <w:spacing w:after="0" w:line="139" w:lineRule="exact"/>
              <w:rPr>
                <w:sz w:val="20"/>
                <w:szCs w:val="20"/>
                <w:color w:val="auto"/>
              </w:rPr>
            </w:pPr>
            <w:r>
              <w:rPr>
                <w:rFonts w:ascii="Arial" w:cs="Arial" w:eastAsia="Arial" w:hAnsi="Arial"/>
                <w:sz w:val="13"/>
                <w:szCs w:val="13"/>
                <w:b w:val="1"/>
                <w:bCs w:val="1"/>
                <w:color w:val="auto"/>
              </w:rPr>
              <w:t>Price of</w:t>
            </w:r>
          </w:p>
        </w:tc>
        <w:tc>
          <w:tcPr>
            <w:tcW w:w="860" w:type="dxa"/>
            <w:vAlign w:val="bottom"/>
            <w:vMerge w:val="restart"/>
          </w:tcPr>
          <w:p>
            <w:pPr>
              <w:ind w:left="60"/>
              <w:spacing w:after="0" w:line="139" w:lineRule="exact"/>
              <w:rPr>
                <w:sz w:val="20"/>
                <w:szCs w:val="20"/>
                <w:color w:val="auto"/>
              </w:rPr>
            </w:pPr>
            <w:r>
              <w:rPr>
                <w:rFonts w:ascii="Arial" w:cs="Arial" w:eastAsia="Arial" w:hAnsi="Arial"/>
                <w:sz w:val="13"/>
                <w:szCs w:val="13"/>
                <w:b w:val="1"/>
                <w:bCs w:val="1"/>
                <w:color w:val="auto"/>
              </w:rPr>
              <w:t>Direct (D) or</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80" w:type="dxa"/>
            <w:vAlign w:val="bottom"/>
          </w:tcPr>
          <w:p>
            <w:pPr>
              <w:spacing w:after="0" w:line="131" w:lineRule="exact"/>
              <w:rPr>
                <w:sz w:val="20"/>
                <w:szCs w:val="20"/>
                <w:color w:val="auto"/>
              </w:rPr>
            </w:pPr>
            <w:r>
              <w:rPr>
                <w:rFonts w:ascii="Arial" w:cs="Arial" w:eastAsia="Arial" w:hAnsi="Arial"/>
                <w:sz w:val="13"/>
                <w:szCs w:val="13"/>
                <w:b w:val="1"/>
                <w:bCs w:val="1"/>
                <w:color w:val="auto"/>
              </w:rPr>
              <w:t>Derivative</w:t>
            </w:r>
          </w:p>
        </w:tc>
        <w:tc>
          <w:tcPr>
            <w:tcW w:w="860" w:type="dxa"/>
            <w:vAlign w:val="bottom"/>
          </w:tcPr>
          <w:p>
            <w:pPr>
              <w:ind w:left="60"/>
              <w:spacing w:after="0" w:line="131" w:lineRule="exact"/>
              <w:rPr>
                <w:sz w:val="20"/>
                <w:szCs w:val="20"/>
                <w:color w:val="auto"/>
              </w:rPr>
            </w:pPr>
            <w:r>
              <w:rPr>
                <w:rFonts w:ascii="Arial" w:cs="Arial" w:eastAsia="Arial" w:hAnsi="Arial"/>
                <w:sz w:val="13"/>
                <w:szCs w:val="13"/>
                <w:b w:val="1"/>
                <w:bCs w:val="1"/>
                <w:color w:val="auto"/>
              </w:rPr>
              <w:t>Indirect (I)</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Date</w:t>
            </w:r>
          </w:p>
        </w:tc>
        <w:tc>
          <w:tcPr>
            <w:tcW w:w="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Expiration</w:t>
            </w:r>
          </w:p>
        </w:tc>
        <w:tc>
          <w:tcPr>
            <w:tcW w:w="2060" w:type="dxa"/>
            <w:vAlign w:val="bottom"/>
          </w:tcPr>
          <w:p>
            <w:pPr>
              <w:spacing w:after="0"/>
              <w:rPr>
                <w:sz w:val="12"/>
                <w:szCs w:val="12"/>
                <w:color w:val="auto"/>
              </w:rPr>
            </w:pPr>
          </w:p>
        </w:tc>
        <w:tc>
          <w:tcPr>
            <w:tcW w:w="72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or</w:t>
            </w:r>
          </w:p>
        </w:tc>
        <w:tc>
          <w:tcPr>
            <w:tcW w:w="780" w:type="dxa"/>
            <w:vAlign w:val="bottom"/>
          </w:tcPr>
          <w:p>
            <w:pPr>
              <w:spacing w:after="0" w:line="139" w:lineRule="exact"/>
              <w:rPr>
                <w:sz w:val="20"/>
                <w:szCs w:val="20"/>
                <w:color w:val="auto"/>
              </w:rPr>
            </w:pPr>
            <w:r>
              <w:rPr>
                <w:rFonts w:ascii="Arial" w:cs="Arial" w:eastAsia="Arial" w:hAnsi="Arial"/>
                <w:sz w:val="13"/>
                <w:szCs w:val="13"/>
                <w:b w:val="1"/>
                <w:bCs w:val="1"/>
                <w:color w:val="auto"/>
              </w:rPr>
              <w:t>Security</w:t>
            </w:r>
          </w:p>
        </w:tc>
        <w:tc>
          <w:tcPr>
            <w:tcW w:w="860" w:type="dxa"/>
            <w:vAlign w:val="bottom"/>
          </w:tcPr>
          <w:p>
            <w:pPr>
              <w:ind w:left="60"/>
              <w:spacing w:after="0" w:line="139" w:lineRule="exact"/>
              <w:rPr>
                <w:sz w:val="20"/>
                <w:szCs w:val="20"/>
                <w:color w:val="auto"/>
              </w:rPr>
            </w:pPr>
            <w:r>
              <w:rPr>
                <w:rFonts w:ascii="Arial" w:cs="Arial" w:eastAsia="Arial" w:hAnsi="Arial"/>
                <w:sz w:val="13"/>
                <w:szCs w:val="13"/>
                <w:b w:val="1"/>
                <w:bCs w:val="1"/>
                <w:color w:val="auto"/>
              </w:rPr>
              <w:t>(Instr.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0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Title</w:t>
            </w:r>
          </w:p>
        </w:tc>
        <w:tc>
          <w:tcPr>
            <w:tcW w:w="720" w:type="dxa"/>
            <w:vAlign w:val="bottom"/>
            <w:gridSpan w:val="2"/>
          </w:tcPr>
          <w:p>
            <w:pPr>
              <w:ind w:left="20"/>
              <w:spacing w:after="0" w:line="136" w:lineRule="exact"/>
              <w:rPr>
                <w:sz w:val="20"/>
                <w:szCs w:val="20"/>
                <w:color w:val="auto"/>
              </w:rPr>
            </w:pPr>
            <w:r>
              <w:rPr>
                <w:rFonts w:ascii="Arial" w:cs="Arial" w:eastAsia="Arial" w:hAnsi="Arial"/>
                <w:sz w:val="13"/>
                <w:szCs w:val="13"/>
                <w:b w:val="1"/>
                <w:bCs w:val="1"/>
                <w:color w:val="auto"/>
              </w:rPr>
              <w:t>Number</w:t>
            </w:r>
          </w:p>
        </w:tc>
        <w:tc>
          <w:tcPr>
            <w:tcW w:w="7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ind w:left="60"/>
              <w:spacing w:after="0"/>
              <w:rPr>
                <w:sz w:val="20"/>
                <w:szCs w:val="20"/>
                <w:color w:val="auto"/>
              </w:rPr>
            </w:pPr>
            <w:r>
              <w:rPr>
                <w:rFonts w:ascii="Arial" w:cs="Arial" w:eastAsia="Arial" w:hAnsi="Arial"/>
                <w:sz w:val="13"/>
                <w:szCs w:val="13"/>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3"/>
                <w:szCs w:val="13"/>
                <w:b w:val="1"/>
                <w:bCs w:val="1"/>
                <w:color w:val="auto"/>
              </w:rPr>
              <w:t>Date</w:t>
            </w:r>
          </w:p>
        </w:tc>
        <w:tc>
          <w:tcPr>
            <w:tcW w:w="2060" w:type="dxa"/>
            <w:vAlign w:val="bottom"/>
            <w:vMerge w:val="continue"/>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of Shares</w:t>
            </w: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60" w:type="dxa"/>
            <w:vAlign w:val="bottom"/>
            <w:vMerge w:val="restart"/>
          </w:tcPr>
          <w:p>
            <w:pPr>
              <w:ind w:left="60"/>
              <w:spacing w:after="0"/>
              <w:rPr>
                <w:sz w:val="20"/>
                <w:szCs w:val="20"/>
                <w:color w:val="auto"/>
              </w:rPr>
            </w:pPr>
            <w:r>
              <w:rPr>
                <w:rFonts w:ascii="Arial" w:cs="Arial" w:eastAsia="Arial" w:hAnsi="Arial"/>
                <w:sz w:val="16"/>
                <w:szCs w:val="16"/>
                <w:color w:val="0000FF"/>
              </w:rPr>
              <w:t>Common OP Units</w:t>
            </w:r>
            <w:r>
              <w:rPr>
                <w:rFonts w:ascii="Arial" w:cs="Arial" w:eastAsia="Arial" w:hAnsi="Arial"/>
                <w:sz w:val="21"/>
                <w:szCs w:val="21"/>
                <w:color w:val="008000"/>
                <w:vertAlign w:val="superscript"/>
              </w:rPr>
              <w:t>(1)</w:t>
            </w:r>
          </w:p>
        </w:tc>
        <w:tc>
          <w:tcPr>
            <w:tcW w:w="1480" w:type="dxa"/>
            <w:vAlign w:val="bottom"/>
            <w:gridSpan w:val="2"/>
            <w:vMerge w:val="restart"/>
          </w:tcPr>
          <w:p>
            <w:pPr>
              <w:jc w:val="right"/>
              <w:ind w:right="293"/>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2060" w:type="dxa"/>
            <w:vAlign w:val="bottom"/>
          </w:tcPr>
          <w:p>
            <w:pPr>
              <w:jc w:val="center"/>
              <w:spacing w:after="0"/>
              <w:rPr>
                <w:sz w:val="20"/>
                <w:szCs w:val="20"/>
                <w:color w:val="auto"/>
              </w:rPr>
            </w:pPr>
            <w:r>
              <w:rPr>
                <w:rFonts w:ascii="Arial" w:cs="Arial" w:eastAsia="Arial" w:hAnsi="Arial"/>
                <w:sz w:val="16"/>
                <w:szCs w:val="16"/>
                <w:color w:val="0000FF"/>
                <w:w w:val="94"/>
              </w:rPr>
              <w:t>Common Stock, par value</w:t>
            </w:r>
          </w:p>
        </w:tc>
        <w:tc>
          <w:tcPr>
            <w:tcW w:w="660" w:type="dxa"/>
            <w:vAlign w:val="bottom"/>
            <w:vMerge w:val="restart"/>
          </w:tcPr>
          <w:p>
            <w:pPr>
              <w:jc w:val="right"/>
              <w:ind w:right="48"/>
              <w:spacing w:after="0"/>
              <w:rPr>
                <w:sz w:val="20"/>
                <w:szCs w:val="20"/>
                <w:color w:val="auto"/>
              </w:rPr>
            </w:pPr>
            <w:r>
              <w:rPr>
                <w:rFonts w:ascii="Arial" w:cs="Arial" w:eastAsia="Arial" w:hAnsi="Arial"/>
                <w:sz w:val="16"/>
                <w:szCs w:val="16"/>
                <w:color w:val="0000FF"/>
              </w:rPr>
              <w:t>25,139</w:t>
            </w:r>
          </w:p>
        </w:tc>
        <w:tc>
          <w:tcPr>
            <w:tcW w:w="60" w:type="dxa"/>
            <w:vAlign w:val="bottom"/>
          </w:tcPr>
          <w:p>
            <w:pPr>
              <w:spacing w:after="0"/>
              <w:rPr>
                <w:sz w:val="21"/>
                <w:szCs w:val="21"/>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860" w:type="dxa"/>
            <w:vAlign w:val="bottom"/>
            <w:vMerge w:val="restart"/>
          </w:tcPr>
          <w:p>
            <w:pPr>
              <w:ind w:left="380"/>
              <w:spacing w:after="0"/>
              <w:rPr>
                <w:sz w:val="20"/>
                <w:szCs w:val="20"/>
                <w:color w:val="auto"/>
              </w:rPr>
            </w:pPr>
            <w:r>
              <w:rPr>
                <w:rFonts w:ascii="Arial" w:cs="Arial" w:eastAsia="Arial" w:hAnsi="Arial"/>
                <w:sz w:val="16"/>
                <w:szCs w:val="16"/>
                <w:color w:val="0000FF"/>
              </w:rPr>
              <w:t>D</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760" w:type="dxa"/>
            <w:vAlign w:val="bottom"/>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060" w:type="dxa"/>
            <w:vAlign w:val="bottom"/>
            <w:vMerge w:val="restart"/>
          </w:tcPr>
          <w:p>
            <w:pPr>
              <w:jc w:val="center"/>
              <w:spacing w:after="0"/>
              <w:rPr>
                <w:sz w:val="20"/>
                <w:szCs w:val="20"/>
                <w:color w:val="auto"/>
              </w:rPr>
            </w:pPr>
            <w:r>
              <w:rPr>
                <w:rFonts w:ascii="Arial" w:cs="Arial" w:eastAsia="Arial" w:hAnsi="Arial"/>
                <w:sz w:val="16"/>
                <w:szCs w:val="16"/>
                <w:color w:val="0000FF"/>
                <w:w w:val="94"/>
              </w:rPr>
              <w:t>$0.01</w:t>
            </w: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60" w:type="dxa"/>
            <w:vAlign w:val="bottom"/>
            <w:vMerge w:val="restart"/>
          </w:tcPr>
          <w:p>
            <w:pPr>
              <w:ind w:left="60"/>
              <w:spacing w:after="0"/>
              <w:rPr>
                <w:sz w:val="20"/>
                <w:szCs w:val="20"/>
                <w:color w:val="auto"/>
              </w:rPr>
            </w:pPr>
            <w:r>
              <w:rPr>
                <w:rFonts w:ascii="Arial" w:cs="Arial" w:eastAsia="Arial" w:hAnsi="Arial"/>
                <w:sz w:val="16"/>
                <w:szCs w:val="16"/>
                <w:color w:val="0000FF"/>
              </w:rPr>
              <w:t>LTIP Units</w:t>
            </w:r>
            <w:r>
              <w:rPr>
                <w:rFonts w:ascii="Arial" w:cs="Arial" w:eastAsia="Arial" w:hAnsi="Arial"/>
                <w:sz w:val="21"/>
                <w:szCs w:val="21"/>
                <w:color w:val="008000"/>
                <w:vertAlign w:val="superscript"/>
              </w:rPr>
              <w:t>(2)</w:t>
            </w:r>
          </w:p>
        </w:tc>
        <w:tc>
          <w:tcPr>
            <w:tcW w:w="1480" w:type="dxa"/>
            <w:vAlign w:val="bottom"/>
            <w:gridSpan w:val="2"/>
            <w:vMerge w:val="restart"/>
          </w:tcPr>
          <w:p>
            <w:pPr>
              <w:jc w:val="right"/>
              <w:ind w:right="173"/>
              <w:spacing w:after="0"/>
              <w:rPr>
                <w:sz w:val="20"/>
                <w:szCs w:val="20"/>
                <w:color w:val="auto"/>
              </w:rPr>
            </w:pPr>
            <w:r>
              <w:rPr>
                <w:rFonts w:ascii="Arial" w:cs="Arial" w:eastAsia="Arial" w:hAnsi="Arial"/>
                <w:sz w:val="11"/>
                <w:szCs w:val="11"/>
                <w:color w:val="008000"/>
              </w:rPr>
              <w:t>(2)(3)(4)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2060" w:type="dxa"/>
            <w:vAlign w:val="bottom"/>
          </w:tcPr>
          <w:p>
            <w:pPr>
              <w:jc w:val="center"/>
              <w:spacing w:after="0"/>
              <w:rPr>
                <w:sz w:val="20"/>
                <w:szCs w:val="20"/>
                <w:color w:val="auto"/>
              </w:rPr>
            </w:pPr>
            <w:r>
              <w:rPr>
                <w:rFonts w:ascii="Arial" w:cs="Arial" w:eastAsia="Arial" w:hAnsi="Arial"/>
                <w:sz w:val="16"/>
                <w:szCs w:val="16"/>
                <w:color w:val="0000FF"/>
                <w:w w:val="94"/>
              </w:rPr>
              <w:t>Common Stock, par value</w:t>
            </w:r>
          </w:p>
        </w:tc>
        <w:tc>
          <w:tcPr>
            <w:tcW w:w="660" w:type="dxa"/>
            <w:vAlign w:val="bottom"/>
            <w:vMerge w:val="restart"/>
          </w:tcPr>
          <w:p>
            <w:pPr>
              <w:jc w:val="center"/>
              <w:spacing w:after="0"/>
              <w:rPr>
                <w:sz w:val="20"/>
                <w:szCs w:val="20"/>
                <w:color w:val="auto"/>
              </w:rPr>
            </w:pPr>
            <w:r>
              <w:rPr>
                <w:rFonts w:ascii="Arial" w:cs="Arial" w:eastAsia="Arial" w:hAnsi="Arial"/>
                <w:sz w:val="16"/>
                <w:szCs w:val="16"/>
                <w:color w:val="0000FF"/>
                <w:w w:val="87"/>
              </w:rPr>
              <w:t>26,171</w:t>
            </w:r>
            <w:r>
              <w:rPr>
                <w:rFonts w:ascii="Arial" w:cs="Arial" w:eastAsia="Arial" w:hAnsi="Arial"/>
                <w:sz w:val="21"/>
                <w:szCs w:val="21"/>
                <w:color w:val="008000"/>
                <w:w w:val="87"/>
                <w:vertAlign w:val="superscript"/>
              </w:rPr>
              <w:t>(3)</w:t>
            </w:r>
          </w:p>
        </w:tc>
        <w:tc>
          <w:tcPr>
            <w:tcW w:w="60" w:type="dxa"/>
            <w:vAlign w:val="bottom"/>
          </w:tcPr>
          <w:p>
            <w:pPr>
              <w:spacing w:after="0"/>
              <w:rPr>
                <w:sz w:val="21"/>
                <w:szCs w:val="21"/>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(2)</w:t>
            </w:r>
          </w:p>
        </w:tc>
        <w:tc>
          <w:tcPr>
            <w:tcW w:w="860" w:type="dxa"/>
            <w:vAlign w:val="bottom"/>
            <w:vMerge w:val="restart"/>
          </w:tcPr>
          <w:p>
            <w:pPr>
              <w:ind w:left="380"/>
              <w:spacing w:after="0"/>
              <w:rPr>
                <w:sz w:val="20"/>
                <w:szCs w:val="20"/>
                <w:color w:val="auto"/>
              </w:rPr>
            </w:pPr>
            <w:r>
              <w:rPr>
                <w:rFonts w:ascii="Arial" w:cs="Arial" w:eastAsia="Arial" w:hAnsi="Arial"/>
                <w:sz w:val="16"/>
                <w:szCs w:val="16"/>
                <w:color w:val="0000FF"/>
              </w:rPr>
              <w:t>D</w:t>
            </w: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760" w:type="dxa"/>
            <w:vAlign w:val="bottom"/>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060" w:type="dxa"/>
            <w:vAlign w:val="bottom"/>
            <w:vMerge w:val="restart"/>
          </w:tcPr>
          <w:p>
            <w:pPr>
              <w:jc w:val="center"/>
              <w:spacing w:after="0"/>
              <w:rPr>
                <w:sz w:val="20"/>
                <w:szCs w:val="20"/>
                <w:color w:val="auto"/>
              </w:rPr>
            </w:pPr>
            <w:r>
              <w:rPr>
                <w:rFonts w:ascii="Arial" w:cs="Arial" w:eastAsia="Arial" w:hAnsi="Arial"/>
                <w:sz w:val="16"/>
                <w:szCs w:val="16"/>
                <w:color w:val="0000FF"/>
                <w:w w:val="94"/>
              </w:rPr>
              <w:t>$0.01</w:t>
            </w: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40" w:right="280" w:hanging="1"/>
        <w:spacing w:after="0" w:line="235" w:lineRule="auto"/>
        <w:tabs>
          <w:tab w:leader="none" w:pos="16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common units of limited partnership interest in Boston Properties Limited Partnership ("BPLP"), of which the Issuer is the general partner ("Common OP Units"). Each Common OP Unit may be presented for redemption, at the election of the holder, for cash equal to the fair market value of a share of the Issuer's common stock, except that the Issuer may, at its election, acquire each Common OP Unit so presented for redemption for one share of common stock. Common OP Units have no expiration date.</w:t>
      </w:r>
    </w:p>
    <w:p>
      <w:pPr>
        <w:spacing w:after="0" w:line="29" w:lineRule="exact"/>
        <w:rPr>
          <w:rFonts w:ascii="Arial" w:cs="Arial" w:eastAsia="Arial" w:hAnsi="Arial"/>
          <w:sz w:val="13"/>
          <w:szCs w:val="13"/>
          <w:color w:val="008000"/>
        </w:rPr>
      </w:pPr>
    </w:p>
    <w:p>
      <w:pPr>
        <w:ind w:left="40" w:right="240" w:hanging="1"/>
        <w:spacing w:after="0" w:line="255" w:lineRule="auto"/>
        <w:tabs>
          <w:tab w:leader="none" w:pos="167"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Represents units of limited partnership interest in BPLP issued as long term incentive compensation ("LTIP Units") pursuant to the Issuer's equity based incentive programs. Conditioned upon minimum allocations to the capital accounts of the LTIP Units for federal income tax purposes, each LTIP Unit may be converted, at the election of BPLP or the holder, into a Common OP Unit. Each Common OP Unit acquired upon conversion of an LTIP Unit may be presented for redemption, at the election of the holder, for cash equal to the then fair market value of a share of the Issuer's common stock, except that the Issuer may, at its election, acquire each Common OP Unit so presented for one share of the Issuer's common stock. LTIP Units have no expiration date.</w:t>
      </w:r>
    </w:p>
    <w:p>
      <w:pPr>
        <w:spacing w:after="0" w:line="21" w:lineRule="exact"/>
        <w:rPr>
          <w:rFonts w:ascii="Arial" w:cs="Arial" w:eastAsia="Arial" w:hAnsi="Arial"/>
          <w:sz w:val="12"/>
          <w:szCs w:val="12"/>
          <w:color w:val="008000"/>
        </w:rPr>
      </w:pPr>
    </w:p>
    <w:p>
      <w:pPr>
        <w:ind w:left="40" w:right="200" w:hanging="1"/>
        <w:spacing w:after="0" w:line="252" w:lineRule="auto"/>
        <w:tabs>
          <w:tab w:leader="none" w:pos="167"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Includes 6,217 vested LTIP Units, 3,432 LTIP Units that will vest on January 15, 2024, 462 LTIP Units that will vest on February 3, 2024, 2,821 LTIP Units that will vest on January 15, 2025, 5,244 LTIP Units that will vest on January 15, 2026, and 4,471 LTIP Units that will vest on January 15, 2027. Also includes 1,943 LTIP Units granted pursuant to the Issuer's 2021 Multi-Year Long-Term Incentive Program (the "2021 Program") and may be earned based on the achievement of certain performance criteria based on the Issuer's total shareholder return over a three-year performance period ending on February 1, 2024 and 1,581 LTIP Units granted pursuant to the Issuer's 2022 Multi-Year Long-Term Incentive Program (the "2022 Program") and may be earned based on the achievement of certain performance criteria based on the Issuer's total shareholder return over a three-year performance period ending on January 31, 2025.</w:t>
      </w:r>
    </w:p>
    <w:p>
      <w:pPr>
        <w:spacing w:after="0" w:line="23" w:lineRule="exact"/>
        <w:rPr>
          <w:rFonts w:ascii="Arial" w:cs="Arial" w:eastAsia="Arial" w:hAnsi="Arial"/>
          <w:sz w:val="12"/>
          <w:szCs w:val="12"/>
          <w:color w:val="008000"/>
        </w:rPr>
      </w:pPr>
    </w:p>
    <w:p>
      <w:pPr>
        <w:ind w:left="40" w:right="60" w:hanging="1"/>
        <w:spacing w:after="0" w:line="235" w:lineRule="auto"/>
        <w:tabs>
          <w:tab w:leader="none" w:pos="16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Any LTIP Units earned pursuant to the 2021 Program and the 2022 Program will vest in full on February 1, 2024 and January 31, 2025, respectively, with each earned LTIP Unit and Common OP Unit acquired upon conversion of such LTIP Unit subject to an additional post-vesting holding period pursuant to which such LTIP Unit and Common OP Unit generally may not be transferred, and the redemption right associated with the Common OP Unit may not be exercised, until one year after the vesting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Power of Attorney</w:t>
      </w:r>
    </w:p>
    <w:p>
      <w:pPr>
        <w:spacing w:after="0" w:line="5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Arial" w:cs="Arial" w:eastAsia="Arial" w:hAnsi="Arial"/>
                <w:sz w:val="16"/>
                <w:szCs w:val="16"/>
                <w:color w:val="0000FF"/>
              </w:rPr>
              <w:t>/s/ Kelli A. DiLuglio, as</w:t>
            </w: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09/05/2023</w:t>
            </w:r>
          </w:p>
        </w:tc>
        <w:tc>
          <w:tcPr>
            <w:tcW w:w="0" w:type="dxa"/>
            <w:vAlign w:val="bottom"/>
          </w:tcPr>
          <w:p>
            <w:pPr>
              <w:spacing w:after="0"/>
              <w:rPr>
                <w:sz w:val="1"/>
                <w:szCs w:val="1"/>
                <w:color w:val="auto"/>
              </w:rPr>
            </w:pPr>
          </w:p>
        </w:tc>
      </w:tr>
      <w:tr>
        <w:trPr>
          <w:trHeight w:val="86"/>
        </w:trPr>
        <w:tc>
          <w:tcPr>
            <w:tcW w:w="1580" w:type="dxa"/>
            <w:vAlign w:val="bottom"/>
            <w:tcBorders>
              <w:top w:val="single" w:sz="8" w:color="auto"/>
              <w:bottom w:val="single" w:sz="8" w:color="auto"/>
            </w:tcBorders>
            <w:gridSpan w:val="2"/>
            <w:vMerge w:val="restart"/>
          </w:tcPr>
          <w:p>
            <w:pPr>
              <w:spacing w:after="0" w:line="183" w:lineRule="exact"/>
              <w:rPr>
                <w:sz w:val="20"/>
                <w:szCs w:val="20"/>
                <w:color w:val="auto"/>
              </w:rPr>
            </w:pPr>
            <w:r>
              <w:rPr>
                <w:rFonts w:ascii="Arial" w:cs="Arial" w:eastAsia="Arial" w:hAnsi="Arial"/>
                <w:sz w:val="16"/>
                <w:szCs w:val="16"/>
                <w:color w:val="0000FF"/>
              </w:rPr>
              <w:t>Attorney-in-Fact</w:t>
            </w:r>
          </w:p>
        </w:tc>
        <w:tc>
          <w:tcPr>
            <w:tcW w:w="6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5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5 (b)(v).</w:t>
      </w:r>
    </w:p>
    <w:p>
      <w:pPr>
        <w:spacing w:after="0" w:line="41" w:lineRule="exact"/>
        <w:rPr>
          <w:sz w:val="20"/>
          <w:szCs w:val="20"/>
          <w:color w:val="auto"/>
        </w:rPr>
      </w:pPr>
    </w:p>
    <w:p>
      <w:pPr>
        <w:jc w:val="both"/>
        <w:ind w:left="40" w:right="3620" w:hanging="1"/>
        <w:spacing w:after="0" w:line="327" w:lineRule="auto"/>
        <w:tabs>
          <w:tab w:leader="none" w:pos="17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Exhibit 24</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POWER OF ATTORNEY</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Know all by these presents, that the undersigned hereby constitutes and appoints each of Sandy D.</w:t>
      </w:r>
    </w:p>
    <w:p>
      <w:pPr>
        <w:spacing w:after="0" w:line="28" w:lineRule="exact"/>
        <w:rPr>
          <w:sz w:val="20"/>
          <w:szCs w:val="20"/>
          <w:color w:val="auto"/>
        </w:rPr>
      </w:pPr>
    </w:p>
    <w:p>
      <w:pPr>
        <w:ind w:right="300"/>
        <w:spacing w:after="0" w:line="251" w:lineRule="auto"/>
        <w:rPr>
          <w:sz w:val="20"/>
          <w:szCs w:val="20"/>
          <w:color w:val="auto"/>
        </w:rPr>
      </w:pPr>
      <w:r>
        <w:rPr>
          <w:rFonts w:ascii="Courier New" w:cs="Courier New" w:eastAsia="Courier New" w:hAnsi="Courier New"/>
          <w:sz w:val="16"/>
          <w:szCs w:val="16"/>
          <w:color w:val="auto"/>
        </w:rPr>
        <w:t>Bransfield, Kelli A. DiLuglio and Eric G. Kevorkian, or each of them singly, to be the undersigned's true and lawful attorney-in-fact to:</w:t>
      </w:r>
    </w:p>
    <w:p>
      <w:pPr>
        <w:spacing w:after="0" w:line="1" w:lineRule="exact"/>
        <w:rPr>
          <w:sz w:val="20"/>
          <w:szCs w:val="20"/>
          <w:color w:val="auto"/>
        </w:rPr>
      </w:pPr>
    </w:p>
    <w:p>
      <w:pPr>
        <w:ind w:right="1480" w:firstLine="1"/>
        <w:spacing w:after="0" w:line="251" w:lineRule="auto"/>
        <w:tabs>
          <w:tab w:leader="none" w:pos="39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 w:lineRule="exact"/>
        <w:rPr>
          <w:rFonts w:ascii="Courier New" w:cs="Courier New" w:eastAsia="Courier New" w:hAnsi="Courier New"/>
          <w:sz w:val="16"/>
          <w:szCs w:val="16"/>
          <w:color w:val="auto"/>
        </w:rPr>
      </w:pPr>
    </w:p>
    <w:p>
      <w:pPr>
        <w:ind w:left="400" w:hanging="399"/>
        <w:spacing w:after="0"/>
        <w:tabs>
          <w:tab w:leader="none" w:pos="4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execute in the undersigned's name and on the undersigned's behalf and submit to the</w:t>
      </w:r>
    </w:p>
    <w:p>
      <w:pPr>
        <w:spacing w:after="0" w:line="8" w:lineRule="exact"/>
        <w:rPr>
          <w:rFonts w:ascii="Courier New" w:cs="Courier New" w:eastAsia="Courier New" w:hAnsi="Courier New"/>
          <w:sz w:val="16"/>
          <w:szCs w:val="16"/>
          <w:color w:val="auto"/>
        </w:rPr>
      </w:pPr>
    </w:p>
    <w:p>
      <w:pPr>
        <w:ind w:right="90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 any and all reports the undersigned is required to file with the SEC, or which the attorney-in-fact considers advisable to file with the SEC, under Section 16 of the Exchange Act or any rule or regulation thereunder, or under Rule 144 under the Securities Act of 1933, with respect to the any security of Boston Properties, Inc. or Boston Properties Limited Partnership (together, the "Company"), including Forms 3, 4 and 5, and Forms 144;</w:t>
      </w:r>
    </w:p>
    <w:p>
      <w:pPr>
        <w:spacing w:after="0" w:line="2" w:lineRule="exact"/>
        <w:rPr>
          <w:rFonts w:ascii="Courier New" w:cs="Courier New" w:eastAsia="Courier New" w:hAnsi="Courier New"/>
          <w:sz w:val="16"/>
          <w:szCs w:val="16"/>
          <w:color w:val="auto"/>
        </w:rPr>
      </w:pPr>
    </w:p>
    <w:p>
      <w:pPr>
        <w:spacing w:after="0"/>
        <w:tabs>
          <w:tab w:leader="none" w:pos="0" w:val="left"/>
        </w:tabs>
        <w:numPr>
          <w:ilvl w:val="0"/>
          <w:numId w:val="5"/>
        </w:numPr>
        <w:rPr>
          <w:rFonts w:ascii="Courier New" w:cs="Courier New" w:eastAsia="Courier New" w:hAnsi="Courier New"/>
          <w:sz w:val="16"/>
          <w:szCs w:val="16"/>
          <w:color w:val="auto"/>
        </w:rPr>
      </w:pPr>
    </w:p>
    <w:p>
      <w:pPr>
        <w:spacing w:after="0" w:line="8" w:lineRule="exact"/>
        <w:rPr>
          <w:rFonts w:ascii="Courier New" w:cs="Courier New" w:eastAsia="Courier New" w:hAnsi="Courier New"/>
          <w:sz w:val="16"/>
          <w:szCs w:val="16"/>
          <w:color w:val="auto"/>
        </w:rPr>
      </w:pPr>
    </w:p>
    <w:p>
      <w:pPr>
        <w:ind w:right="178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or Form 144 and any amendments thereto and timely file such forms with the SEC and any stock exchange or similar authority, including, but not limited to, taking any actions necessary or desirable in connection with effectuating electronic filings; and</w:t>
      </w:r>
    </w:p>
    <w:p>
      <w:pPr>
        <w:spacing w:after="0" w:line="2" w:lineRule="exact"/>
        <w:rPr>
          <w:rFonts w:ascii="Courier New" w:cs="Courier New" w:eastAsia="Courier New" w:hAnsi="Courier New"/>
          <w:sz w:val="16"/>
          <w:szCs w:val="16"/>
          <w:color w:val="auto"/>
        </w:rPr>
      </w:pPr>
    </w:p>
    <w:p>
      <w:pPr>
        <w:ind w:right="900" w:firstLine="1"/>
        <w:spacing w:after="0" w:line="251" w:lineRule="auto"/>
        <w:tabs>
          <w:tab w:leader="none" w:pos="395"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which, in the opinion of such attorney-in-fact, may be necessary or desirable in connection with the foregoing authority,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 w:lineRule="exact"/>
        <w:rPr>
          <w:rFonts w:ascii="Courier New" w:cs="Courier New" w:eastAsia="Courier New" w:hAnsi="Courier New"/>
          <w:sz w:val="16"/>
          <w:szCs w:val="16"/>
          <w:color w:val="auto"/>
        </w:rPr>
      </w:pPr>
    </w:p>
    <w:p>
      <w:pPr>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w:t>
      </w:r>
    </w:p>
    <w:p>
      <w:pPr>
        <w:spacing w:after="0" w:line="3" w:lineRule="exact"/>
        <w:rPr>
          <w:rFonts w:ascii="Courier New" w:cs="Courier New" w:eastAsia="Courier New" w:hAnsi="Courier New"/>
          <w:sz w:val="16"/>
          <w:szCs w:val="16"/>
          <w:color w:val="auto"/>
        </w:rPr>
      </w:pPr>
    </w:p>
    <w:p>
      <w:pPr>
        <w:ind w:right="400"/>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foregoing attorneys-in-fact, in serving in such capacity at the request of the undersigned, are not assuming, nor is the Company assuming, any of the undersigned's responsibilities to comply with Section 16 of the Securities Exchange Act of 1934 and Rule 144 of the Securities Act of 1933.</w:t>
      </w:r>
    </w:p>
    <w:p>
      <w:pPr>
        <w:spacing w:after="0" w:line="1" w:lineRule="exact"/>
        <w:rPr>
          <w:rFonts w:ascii="Courier New" w:cs="Courier New" w:eastAsia="Courier New" w:hAnsi="Courier New"/>
          <w:sz w:val="16"/>
          <w:szCs w:val="16"/>
          <w:color w:val="auto"/>
        </w:rPr>
      </w:pPr>
    </w:p>
    <w:p>
      <w:pPr>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and Forms 144 with respect to the undersigned's holdings of and transactions in securities issued by the Company, unless earlier revoked by the undersigned in a signed writing delivered to the foregoing attorneys-in-fact. This Power of Attorney may be filed with the SEC as a confirming statement of</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granted herein.</w:t>
      </w:r>
    </w:p>
    <w:p>
      <w:pPr>
        <w:spacing w:after="0" w:line="8" w:lineRule="exact"/>
        <w:rPr>
          <w:rFonts w:ascii="Courier New" w:cs="Courier New" w:eastAsia="Courier New" w:hAnsi="Courier New"/>
          <w:sz w:val="16"/>
          <w:szCs w:val="16"/>
          <w:color w:val="auto"/>
        </w:rPr>
      </w:pPr>
    </w:p>
    <w:p>
      <w:pPr>
        <w:ind w:right="1680"/>
        <w:spacing w:after="0" w:line="26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WITNESS WHEREOF, the undersigned has caused this Power of Attorney to be executed as of this riday of August, 2023.</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Rodney C. Diehl</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 Name</w:t>
      </w:r>
    </w:p>
    <w:sectPr>
      <w:pgSz w:w="11900" w:h="16838" w:orient="portrait"/>
      <w:cols w:equalWidth="0" w:num="1">
        <w:col w:w="11080"/>
      </w:cols>
      <w:pgMar w:left="46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55086" TargetMode="External"/><Relationship Id="rId9"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2023-09-11T14:53:38Z</dcterms:created>
  <dcterms:modified xsi:type="dcterms:W3CDTF">2023-09-11T14:53:38Z</dcterms:modified>
</cp:coreProperties>
</file>