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71488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259715</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2291715</wp:posOffset>
            </wp:positionH>
            <wp:positionV relativeFrom="paragraph">
              <wp:posOffset>125095</wp:posOffset>
            </wp:positionV>
            <wp:extent cx="25584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2291715</wp:posOffset>
            </wp:positionH>
            <wp:positionV relativeFrom="paragraph">
              <wp:posOffset>92710</wp:posOffset>
            </wp:positionV>
            <wp:extent cx="25584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263" w:lineRule="exact"/>
        <w:rPr>
          <w:sz w:val="24"/>
          <w:szCs w:val="24"/>
          <w:color w:val="auto"/>
        </w:rPr>
      </w:pPr>
    </w:p>
    <w:p>
      <w:pPr>
        <w:ind w:left="820" w:hanging="715"/>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5" w:lineRule="exact"/>
        <w:rPr>
          <w:sz w:val="24"/>
          <w:szCs w:val="24"/>
          <w:color w:val="auto"/>
        </w:rPr>
      </w:pPr>
    </w:p>
    <w:p>
      <w:pPr>
        <w:ind w:left="820" w:hanging="715"/>
        <w:spacing w:after="0"/>
        <w:tabs>
          <w:tab w:leader="none" w:pos="8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0" w:lineRule="exact"/>
        <w:rPr>
          <w:sz w:val="24"/>
          <w:szCs w:val="24"/>
          <w:color w:val="auto"/>
        </w:rPr>
      </w:pPr>
    </w:p>
    <w:p>
      <w:pPr>
        <w:ind w:left="404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1-13087 (Boston Properties,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2291715</wp:posOffset>
            </wp:positionH>
            <wp:positionV relativeFrom="paragraph">
              <wp:posOffset>99695</wp:posOffset>
            </wp:positionV>
            <wp:extent cx="25584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BOSTON PROPERTIES,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BOSTON PROPERTIES LIMITED PARTNERSHIP</w:t>
      </w: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60" w:type="dxa"/>
            <w:vAlign w:val="bottom"/>
            <w:gridSpan w:val="8"/>
          </w:tcPr>
          <w:p>
            <w:pPr>
              <w:jc w:val="center"/>
              <w:ind w:right="900"/>
              <w:spacing w:after="0"/>
              <w:rPr>
                <w:sz w:val="20"/>
                <w:szCs w:val="20"/>
                <w:color w:val="auto"/>
              </w:rPr>
            </w:pPr>
            <w:r>
              <w:rPr>
                <w:rFonts w:ascii="Arial" w:cs="Arial" w:eastAsia="Arial" w:hAnsi="Arial"/>
                <w:sz w:val="14"/>
                <w:szCs w:val="14"/>
                <w:b w:val="1"/>
                <w:bCs w:val="1"/>
                <w:color w:val="auto"/>
              </w:rPr>
              <w:t>(Exact name of Registrants as specified in its charter)</w:t>
            </w: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82"/>
        </w:trPr>
        <w:tc>
          <w:tcPr>
            <w:tcW w:w="2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40" w:type="dxa"/>
            <w:vAlign w:val="bottom"/>
          </w:tcPr>
          <w:p>
            <w:pPr>
              <w:spacing w:after="0"/>
              <w:rPr>
                <w:sz w:val="7"/>
                <w:szCs w:val="7"/>
                <w:color w:val="auto"/>
              </w:rPr>
            </w:pPr>
          </w:p>
        </w:tc>
      </w:tr>
      <w:tr>
        <w:trPr>
          <w:trHeight w:val="318"/>
        </w:trPr>
        <w:tc>
          <w:tcPr>
            <w:tcW w:w="2600" w:type="dxa"/>
            <w:vAlign w:val="bottom"/>
            <w:gridSpan w:val="2"/>
          </w:tcPr>
          <w:p>
            <w:pPr>
              <w:jc w:val="center"/>
              <w:ind w:left="849"/>
              <w:spacing w:after="0"/>
              <w:rPr>
                <w:sz w:val="20"/>
                <w:szCs w:val="20"/>
                <w:color w:val="auto"/>
              </w:rPr>
            </w:pPr>
            <w:r>
              <w:rPr>
                <w:rFonts w:ascii="Arial" w:cs="Arial" w:eastAsia="Arial" w:hAnsi="Arial"/>
                <w:sz w:val="14"/>
                <w:szCs w:val="14"/>
                <w:b w:val="1"/>
                <w:bCs w:val="1"/>
                <w:color w:val="auto"/>
              </w:rPr>
              <w:t>Boston Properties,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60" w:type="dxa"/>
            <w:vAlign w:val="bottom"/>
            <w:gridSpan w:val="7"/>
          </w:tcPr>
          <w:p>
            <w:pPr>
              <w:jc w:val="center"/>
              <w:ind w:right="2400"/>
              <w:spacing w:after="0"/>
              <w:rPr>
                <w:sz w:val="20"/>
                <w:szCs w:val="20"/>
                <w:color w:val="auto"/>
              </w:rPr>
            </w:pPr>
            <w:r>
              <w:rPr>
                <w:rFonts w:ascii="Arial" w:cs="Arial" w:eastAsia="Arial" w:hAnsi="Arial"/>
                <w:sz w:val="14"/>
                <w:szCs w:val="14"/>
                <w:b w:val="1"/>
                <w:bCs w:val="1"/>
                <w:color w:val="auto"/>
              </w:rPr>
              <w:t>Delaware</w:t>
            </w:r>
          </w:p>
        </w:tc>
        <w:tc>
          <w:tcPr>
            <w:tcW w:w="2680" w:type="dxa"/>
            <w:vAlign w:val="bottom"/>
            <w:gridSpan w:val="2"/>
          </w:tcPr>
          <w:p>
            <w:pPr>
              <w:jc w:val="center"/>
              <w:ind w:right="369"/>
              <w:spacing w:after="0"/>
              <w:rPr>
                <w:sz w:val="20"/>
                <w:szCs w:val="20"/>
                <w:color w:val="auto"/>
              </w:rPr>
            </w:pPr>
            <w:r>
              <w:rPr>
                <w:rFonts w:ascii="Arial" w:cs="Arial" w:eastAsia="Arial" w:hAnsi="Arial"/>
                <w:sz w:val="14"/>
                <w:szCs w:val="14"/>
                <w:b w:val="1"/>
                <w:bCs w:val="1"/>
                <w:color w:val="auto"/>
              </w:rPr>
              <w:t>04-2473675</w:t>
            </w:r>
          </w:p>
        </w:tc>
      </w:tr>
      <w:tr>
        <w:trPr>
          <w:trHeight w:val="174"/>
        </w:trPr>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gridSpan w:val="8"/>
          </w:tcPr>
          <w:p>
            <w:pPr>
              <w:jc w:val="center"/>
              <w:ind w:right="500"/>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680" w:type="dxa"/>
            <w:vAlign w:val="bottom"/>
            <w:gridSpan w:val="2"/>
          </w:tcPr>
          <w:p>
            <w:pPr>
              <w:jc w:val="center"/>
              <w:ind w:right="349"/>
              <w:spacing w:after="0"/>
              <w:rPr>
                <w:sz w:val="20"/>
                <w:szCs w:val="20"/>
                <w:color w:val="auto"/>
              </w:rPr>
            </w:pPr>
            <w:r>
              <w:rPr>
                <w:rFonts w:ascii="Arial" w:cs="Arial" w:eastAsia="Arial" w:hAnsi="Arial"/>
                <w:sz w:val="13"/>
                <w:szCs w:val="13"/>
                <w:color w:val="auto"/>
                <w:w w:val="96"/>
              </w:rPr>
              <w:t>(I.R.S. Employer Identification Number)</w:t>
            </w:r>
          </w:p>
        </w:tc>
      </w:tr>
      <w:tr>
        <w:trPr>
          <w:trHeight w:val="277"/>
        </w:trPr>
        <w:tc>
          <w:tcPr>
            <w:tcW w:w="5500" w:type="dxa"/>
            <w:vAlign w:val="bottom"/>
            <w:gridSpan w:val="6"/>
          </w:tcPr>
          <w:p>
            <w:pPr>
              <w:jc w:val="center"/>
              <w:ind w:right="1913"/>
              <w:spacing w:after="0"/>
              <w:rPr>
                <w:sz w:val="20"/>
                <w:szCs w:val="20"/>
                <w:color w:val="auto"/>
              </w:rPr>
            </w:pPr>
            <w:r>
              <w:rPr>
                <w:rFonts w:ascii="Arial" w:cs="Arial" w:eastAsia="Arial" w:hAnsi="Arial"/>
                <w:sz w:val="14"/>
                <w:szCs w:val="14"/>
                <w:b w:val="1"/>
                <w:bCs w:val="1"/>
                <w:color w:val="auto"/>
              </w:rPr>
              <w:t>Boston Properties Limited Partnership</w:t>
            </w:r>
          </w:p>
        </w:tc>
        <w:tc>
          <w:tcPr>
            <w:tcW w:w="3060" w:type="dxa"/>
            <w:vAlign w:val="bottom"/>
            <w:gridSpan w:val="7"/>
          </w:tcPr>
          <w:p>
            <w:pPr>
              <w:jc w:val="center"/>
              <w:ind w:right="2400"/>
              <w:spacing w:after="0"/>
              <w:rPr>
                <w:sz w:val="20"/>
                <w:szCs w:val="20"/>
                <w:color w:val="auto"/>
              </w:rPr>
            </w:pPr>
            <w:r>
              <w:rPr>
                <w:rFonts w:ascii="Arial" w:cs="Arial" w:eastAsia="Arial" w:hAnsi="Arial"/>
                <w:sz w:val="14"/>
                <w:szCs w:val="14"/>
                <w:b w:val="1"/>
                <w:bCs w:val="1"/>
                <w:color w:val="auto"/>
              </w:rPr>
              <w:t>Delaware</w:t>
            </w:r>
          </w:p>
        </w:tc>
        <w:tc>
          <w:tcPr>
            <w:tcW w:w="2680" w:type="dxa"/>
            <w:vAlign w:val="bottom"/>
            <w:gridSpan w:val="2"/>
          </w:tcPr>
          <w:p>
            <w:pPr>
              <w:jc w:val="center"/>
              <w:ind w:right="369"/>
              <w:spacing w:after="0"/>
              <w:rPr>
                <w:sz w:val="20"/>
                <w:szCs w:val="20"/>
                <w:color w:val="auto"/>
              </w:rPr>
            </w:pPr>
            <w:r>
              <w:rPr>
                <w:rFonts w:ascii="Arial" w:cs="Arial" w:eastAsia="Arial" w:hAnsi="Arial"/>
                <w:sz w:val="14"/>
                <w:szCs w:val="14"/>
                <w:b w:val="1"/>
                <w:bCs w:val="1"/>
                <w:color w:val="auto"/>
              </w:rPr>
              <w:t>04-3372948</w:t>
            </w:r>
          </w:p>
        </w:tc>
      </w:tr>
      <w:tr>
        <w:trPr>
          <w:trHeight w:val="174"/>
        </w:trPr>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gridSpan w:val="8"/>
          </w:tcPr>
          <w:p>
            <w:pPr>
              <w:jc w:val="center"/>
              <w:ind w:right="500"/>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680" w:type="dxa"/>
            <w:vAlign w:val="bottom"/>
            <w:gridSpan w:val="2"/>
          </w:tcPr>
          <w:p>
            <w:pPr>
              <w:jc w:val="center"/>
              <w:ind w:right="349"/>
              <w:spacing w:after="0"/>
              <w:rPr>
                <w:sz w:val="20"/>
                <w:szCs w:val="20"/>
                <w:color w:val="auto"/>
              </w:rPr>
            </w:pPr>
            <w:r>
              <w:rPr>
                <w:rFonts w:ascii="Arial" w:cs="Arial" w:eastAsia="Arial" w:hAnsi="Arial"/>
                <w:sz w:val="13"/>
                <w:szCs w:val="13"/>
                <w:color w:val="auto"/>
                <w:w w:val="96"/>
              </w:rPr>
              <w:t>(I.R.S. Employer Identification Number)</w:t>
            </w:r>
          </w:p>
        </w:tc>
      </w:tr>
      <w:tr>
        <w:trPr>
          <w:trHeight w:val="389"/>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10"/>
          </w:tcPr>
          <w:p>
            <w:pPr>
              <w:jc w:val="center"/>
              <w:spacing w:after="0"/>
              <w:rPr>
                <w:sz w:val="20"/>
                <w:szCs w:val="20"/>
                <w:color w:val="auto"/>
              </w:rPr>
            </w:pPr>
            <w:r>
              <w:rPr>
                <w:rFonts w:ascii="Arial" w:cs="Arial" w:eastAsia="Arial" w:hAnsi="Arial"/>
                <w:sz w:val="14"/>
                <w:szCs w:val="14"/>
                <w:b w:val="1"/>
                <w:bCs w:val="1"/>
                <w:color w:val="auto"/>
              </w:rPr>
              <w:t>Prudential Center, 800 Boylston Street, Suite 1900, Boston, Massachusetts 02199-8103</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960" w:type="dxa"/>
            <w:vAlign w:val="bottom"/>
            <w:gridSpan w:val="8"/>
          </w:tcPr>
          <w:p>
            <w:pPr>
              <w:jc w:val="center"/>
              <w:ind w:right="900"/>
              <w:spacing w:after="0"/>
              <w:rPr>
                <w:sz w:val="20"/>
                <w:szCs w:val="20"/>
                <w:color w:val="auto"/>
              </w:rPr>
            </w:pPr>
            <w:r>
              <w:rPr>
                <w:rFonts w:ascii="Arial" w:cs="Arial" w:eastAsia="Arial" w:hAnsi="Arial"/>
                <w:sz w:val="13"/>
                <w:szCs w:val="13"/>
                <w:b w:val="1"/>
                <w:bCs w:val="1"/>
                <w:color w:val="auto"/>
                <w:w w:val="97"/>
              </w:rPr>
              <w:t>(Address of principal executive offices) (Zip Code)</w:t>
            </w: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0"/>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40" w:type="dxa"/>
            <w:vAlign w:val="bottom"/>
            <w:gridSpan w:val="8"/>
          </w:tcPr>
          <w:p>
            <w:pPr>
              <w:jc w:val="center"/>
              <w:ind w:left="949"/>
              <w:spacing w:after="0"/>
              <w:rPr>
                <w:sz w:val="20"/>
                <w:szCs w:val="20"/>
                <w:color w:val="auto"/>
              </w:rPr>
            </w:pPr>
            <w:r>
              <w:rPr>
                <w:rFonts w:ascii="Arial" w:cs="Arial" w:eastAsia="Arial" w:hAnsi="Arial"/>
                <w:sz w:val="14"/>
                <w:szCs w:val="14"/>
                <w:b w:val="1"/>
                <w:bCs w:val="1"/>
                <w:color w:val="auto"/>
              </w:rPr>
              <w:t>(617) 236-3300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2"/>
        </w:trPr>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60" w:type="dxa"/>
            <w:vAlign w:val="bottom"/>
            <w:gridSpan w:val="8"/>
          </w:tcPr>
          <w:p>
            <w:pPr>
              <w:jc w:val="center"/>
              <w:ind w:right="920"/>
              <w:spacing w:after="0"/>
              <w:rPr>
                <w:sz w:val="20"/>
                <w:szCs w:val="20"/>
                <w:color w:val="auto"/>
              </w:rPr>
            </w:pPr>
            <w:r>
              <w:rPr>
                <w:rFonts w:ascii="Arial" w:cs="Arial" w:eastAsia="Arial" w:hAnsi="Arial"/>
                <w:sz w:val="13"/>
                <w:szCs w:val="13"/>
                <w:color w:val="auto"/>
                <w:w w:val="96"/>
              </w:rPr>
              <w:t>(Registrants’ telephone number, including area code)</w:t>
            </w:r>
          </w:p>
        </w:tc>
        <w:tc>
          <w:tcPr>
            <w:tcW w:w="4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83"/>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gridSpan w:val="8"/>
          </w:tcPr>
          <w:p>
            <w:pPr>
              <w:jc w:val="center"/>
              <w:ind w:right="90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5"/>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jc w:val="center"/>
              <w:ind w:right="389"/>
              <w:spacing w:after="0"/>
              <w:rPr>
                <w:sz w:val="20"/>
                <w:szCs w:val="20"/>
                <w:color w:val="auto"/>
              </w:rPr>
            </w:pPr>
            <w:r>
              <w:rPr>
                <w:rFonts w:ascii="Arial" w:cs="Arial" w:eastAsia="Arial" w:hAnsi="Arial"/>
                <w:sz w:val="14"/>
                <w:szCs w:val="14"/>
                <w:color w:val="auto"/>
              </w:rPr>
              <w:t>Name of each</w:t>
            </w:r>
          </w:p>
        </w:tc>
      </w:tr>
      <w:tr>
        <w:trPr>
          <w:trHeight w:val="173"/>
        </w:trPr>
        <w:tc>
          <w:tcPr>
            <w:tcW w:w="2600" w:type="dxa"/>
            <w:vAlign w:val="bottom"/>
            <w:tcBorders>
              <w:bottom w:val="single" w:sz="8" w:color="auto"/>
            </w:tcBorders>
            <w:gridSpan w:val="2"/>
          </w:tcPr>
          <w:p>
            <w:pPr>
              <w:jc w:val="center"/>
              <w:ind w:left="9"/>
              <w:spacing w:after="0"/>
              <w:rPr>
                <w:sz w:val="20"/>
                <w:szCs w:val="20"/>
                <w:color w:val="auto"/>
              </w:rPr>
            </w:pPr>
            <w:r>
              <w:rPr>
                <w:rFonts w:ascii="Arial" w:cs="Arial" w:eastAsia="Arial" w:hAnsi="Arial"/>
                <w:sz w:val="14"/>
                <w:szCs w:val="14"/>
                <w:color w:val="auto"/>
              </w:rPr>
              <w:t>Registrant</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653"/>
              <w:spacing w:after="0"/>
              <w:rPr>
                <w:sz w:val="20"/>
                <w:szCs w:val="20"/>
                <w:color w:val="auto"/>
              </w:rPr>
            </w:pPr>
            <w:r>
              <w:rPr>
                <w:rFonts w:ascii="Arial" w:cs="Arial" w:eastAsia="Arial" w:hAnsi="Arial"/>
                <w:sz w:val="14"/>
                <w:szCs w:val="14"/>
                <w:color w:val="auto"/>
              </w:rPr>
              <w:t>Title of each class</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rPr>
              <w:t>Trading Symbol(s)</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exchange on which registered</w:t>
            </w:r>
          </w:p>
        </w:tc>
      </w:tr>
      <w:tr>
        <w:trPr>
          <w:trHeight w:val="179"/>
        </w:trPr>
        <w:tc>
          <w:tcPr>
            <w:tcW w:w="2600" w:type="dxa"/>
            <w:vAlign w:val="bottom"/>
            <w:gridSpan w:val="2"/>
          </w:tcPr>
          <w:p>
            <w:pPr>
              <w:jc w:val="center"/>
              <w:ind w:left="9"/>
              <w:spacing w:after="0"/>
              <w:rPr>
                <w:sz w:val="20"/>
                <w:szCs w:val="20"/>
                <w:color w:val="auto"/>
              </w:rPr>
            </w:pPr>
            <w:r>
              <w:rPr>
                <w:rFonts w:ascii="Arial" w:cs="Arial" w:eastAsia="Arial" w:hAnsi="Arial"/>
                <w:sz w:val="14"/>
                <w:szCs w:val="14"/>
                <w:color w:val="auto"/>
              </w:rPr>
              <w:t>Boston Properties, Inc.</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$.01 per share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4"/>
          </w:tcPr>
          <w:p>
            <w:pPr>
              <w:jc w:val="center"/>
              <w:ind w:right="220"/>
              <w:spacing w:after="0"/>
              <w:rPr>
                <w:sz w:val="20"/>
                <w:szCs w:val="20"/>
                <w:color w:val="auto"/>
              </w:rPr>
            </w:pPr>
            <w:r>
              <w:rPr>
                <w:rFonts w:ascii="Arial" w:cs="Arial" w:eastAsia="Arial" w:hAnsi="Arial"/>
                <w:sz w:val="14"/>
                <w:szCs w:val="14"/>
                <w:color w:val="auto"/>
                <w:w w:val="99"/>
              </w:rPr>
              <w:t>BXP</w:t>
            </w:r>
          </w:p>
        </w:tc>
        <w:tc>
          <w:tcPr>
            <w:tcW w:w="440" w:type="dxa"/>
            <w:vAlign w:val="bottom"/>
          </w:tcPr>
          <w:p>
            <w:pPr>
              <w:spacing w:after="0"/>
              <w:rPr>
                <w:sz w:val="15"/>
                <w:szCs w:val="15"/>
                <w:color w:val="auto"/>
              </w:rPr>
            </w:pPr>
          </w:p>
        </w:tc>
        <w:tc>
          <w:tcPr>
            <w:tcW w:w="2240" w:type="dxa"/>
            <w:vAlign w:val="bottom"/>
          </w:tcPr>
          <w:p>
            <w:pPr>
              <w:jc w:val="center"/>
              <w:ind w:right="389"/>
              <w:spacing w:after="0"/>
              <w:rPr>
                <w:sz w:val="20"/>
                <w:szCs w:val="20"/>
                <w:color w:val="auto"/>
              </w:rPr>
            </w:pPr>
            <w:r>
              <w:rPr>
                <w:rFonts w:ascii="Arial" w:cs="Arial" w:eastAsia="Arial" w:hAnsi="Arial"/>
                <w:sz w:val="14"/>
                <w:szCs w:val="14"/>
                <w:color w:val="auto"/>
              </w:rPr>
              <w:t>New York Stock Exchange</w:t>
            </w:r>
          </w:p>
        </w:tc>
      </w:tr>
      <w:tr>
        <w:trPr>
          <w:trHeight w:val="521"/>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gridSpan w:val="8"/>
          </w:tcPr>
          <w:p>
            <w:pPr>
              <w:jc w:val="center"/>
              <w:ind w:right="900"/>
              <w:spacing w:after="0"/>
              <w:rPr>
                <w:sz w:val="20"/>
                <w:szCs w:val="20"/>
                <w:color w:val="auto"/>
              </w:rPr>
            </w:pPr>
            <w:r>
              <w:rPr>
                <w:rFonts w:ascii="Arial" w:cs="Arial" w:eastAsia="Arial" w:hAnsi="Arial"/>
                <w:sz w:val="14"/>
                <w:szCs w:val="14"/>
                <w:color w:val="auto"/>
              </w:rPr>
              <w:t>Securities registered pursuant to Section 12(g) of the Act:</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right="513"/>
              <w:spacing w:after="0"/>
              <w:rPr>
                <w:sz w:val="20"/>
                <w:szCs w:val="20"/>
                <w:color w:val="auto"/>
              </w:rPr>
            </w:pPr>
            <w:r>
              <w:rPr>
                <w:rFonts w:ascii="Arial" w:cs="Arial" w:eastAsia="Arial" w:hAnsi="Arial"/>
                <w:sz w:val="14"/>
                <w:szCs w:val="14"/>
                <w:color w:val="auto"/>
              </w:rPr>
              <w:t>Registrant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4"/>
                <w:szCs w:val="14"/>
                <w:color w:val="auto"/>
              </w:rPr>
              <w:t>Title of each class</w:t>
            </w:r>
          </w:p>
        </w:tc>
        <w:tc>
          <w:tcPr>
            <w:tcW w:w="440" w:type="dxa"/>
            <w:vAlign w:val="bottom"/>
            <w:tcBorders>
              <w:bottom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62"/>
        </w:trPr>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00" w:type="dxa"/>
            <w:vAlign w:val="bottom"/>
            <w:gridSpan w:val="4"/>
          </w:tcPr>
          <w:p>
            <w:pPr>
              <w:jc w:val="center"/>
              <w:ind w:right="273"/>
              <w:spacing w:after="0"/>
              <w:rPr>
                <w:sz w:val="20"/>
                <w:szCs w:val="20"/>
                <w:color w:val="auto"/>
              </w:rPr>
            </w:pPr>
            <w:r>
              <w:rPr>
                <w:rFonts w:ascii="Arial" w:cs="Arial" w:eastAsia="Arial" w:hAnsi="Arial"/>
                <w:sz w:val="14"/>
                <w:szCs w:val="14"/>
                <w:color w:val="auto"/>
              </w:rPr>
              <w:t>Boston Properties Limited Partnership</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gridSpan w:val="4"/>
          </w:tcPr>
          <w:p>
            <w:pPr>
              <w:jc w:val="center"/>
              <w:ind w:left="369"/>
              <w:spacing w:after="0"/>
              <w:rPr>
                <w:sz w:val="20"/>
                <w:szCs w:val="20"/>
                <w:color w:val="auto"/>
              </w:rPr>
            </w:pPr>
            <w:r>
              <w:rPr>
                <w:rFonts w:ascii="Arial" w:cs="Arial" w:eastAsia="Arial" w:hAnsi="Arial"/>
                <w:sz w:val="14"/>
                <w:szCs w:val="14"/>
                <w:color w:val="auto"/>
              </w:rPr>
              <w:t>Units of Limited Partnership</w:t>
            </w:r>
          </w:p>
        </w:tc>
        <w:tc>
          <w:tcPr>
            <w:tcW w:w="44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232"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58" w:lineRule="exact"/>
        <w:rPr>
          <w:sz w:val="24"/>
          <w:szCs w:val="24"/>
          <w:color w:val="auto"/>
        </w:rPr>
      </w:pPr>
    </w:p>
    <w:p>
      <w:pPr>
        <w:ind w:left="280"/>
        <w:spacing w:after="0" w:line="173" w:lineRule="exact"/>
        <w:tabs>
          <w:tab w:leader="none" w:pos="1900" w:val="left"/>
          <w:tab w:leader="none" w:pos="2500" w:val="left"/>
          <w:tab w:leader="none" w:pos="3220" w:val="left"/>
          <w:tab w:leader="none" w:pos="5800" w:val="left"/>
          <w:tab w:leader="none" w:pos="6420" w:val="left"/>
        </w:tabs>
        <w:rPr>
          <w:sz w:val="20"/>
          <w:szCs w:val="20"/>
          <w:color w:val="auto"/>
        </w:rPr>
      </w:pPr>
      <w:r>
        <w:rPr>
          <w:rFonts w:ascii="Arial" w:cs="Arial" w:eastAsia="Arial" w:hAnsi="Arial"/>
          <w:sz w:val="14"/>
          <w:szCs w:val="14"/>
          <w:color w:val="auto"/>
        </w:rPr>
        <w:t>Boston Properties,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9"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46" w:lineRule="exact"/>
        <w:rPr>
          <w:sz w:val="24"/>
          <w:szCs w:val="24"/>
          <w:color w:val="auto"/>
        </w:rPr>
      </w:pPr>
    </w:p>
    <w:p>
      <w:pPr>
        <w:ind w:left="280"/>
        <w:spacing w:after="0" w:line="173" w:lineRule="exact"/>
        <w:tabs>
          <w:tab w:leader="none" w:pos="1900" w:val="left"/>
          <w:tab w:leader="none" w:pos="2540" w:val="left"/>
          <w:tab w:leader="none" w:pos="3260" w:val="left"/>
          <w:tab w:leader="none" w:pos="5840" w:val="left"/>
          <w:tab w:leader="none" w:pos="6480" w:val="left"/>
        </w:tabs>
        <w:rPr>
          <w:sz w:val="20"/>
          <w:szCs w:val="20"/>
          <w:color w:val="auto"/>
        </w:rPr>
      </w:pPr>
      <w:r>
        <w:rPr>
          <w:rFonts w:ascii="Arial" w:cs="Arial" w:eastAsia="Arial" w:hAnsi="Arial"/>
          <w:sz w:val="14"/>
          <w:szCs w:val="14"/>
          <w:color w:val="auto"/>
        </w:rPr>
        <w:t>Boston Properties, Inc.:</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445135</wp:posOffset>
            </wp:positionV>
            <wp:extent cx="717423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right="160" w:firstLine="284"/>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 w:lineRule="exact"/>
        <w:rPr>
          <w:sz w:val="20"/>
          <w:szCs w:val="20"/>
          <w:color w:val="auto"/>
        </w:rPr>
      </w:pPr>
    </w:p>
    <w:p>
      <w:pPr>
        <w:ind w:left="280"/>
        <w:spacing w:after="0" w:line="173" w:lineRule="exact"/>
        <w:tabs>
          <w:tab w:leader="none" w:pos="1900" w:val="left"/>
          <w:tab w:leader="none" w:pos="2500" w:val="left"/>
          <w:tab w:leader="none" w:pos="3220" w:val="left"/>
          <w:tab w:leader="none" w:pos="5800" w:val="left"/>
          <w:tab w:leader="none" w:pos="6420" w:val="left"/>
        </w:tabs>
        <w:rPr>
          <w:sz w:val="20"/>
          <w:szCs w:val="20"/>
          <w:color w:val="auto"/>
        </w:rPr>
      </w:pPr>
      <w:r>
        <w:rPr>
          <w:rFonts w:ascii="Arial" w:cs="Arial" w:eastAsia="Arial" w:hAnsi="Arial"/>
          <w:sz w:val="14"/>
          <w:szCs w:val="14"/>
          <w:color w:val="auto"/>
        </w:rPr>
        <w:t>Boston Properties,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9" w:lineRule="exact"/>
        <w:rPr>
          <w:sz w:val="20"/>
          <w:szCs w:val="20"/>
          <w:color w:val="auto"/>
        </w:rPr>
      </w:pPr>
    </w:p>
    <w:p>
      <w:pPr>
        <w:ind w:right="540" w:firstLine="284"/>
        <w:spacing w:after="0" w:line="27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0"/>
          <w:szCs w:val="20"/>
          <w:color w:val="auto"/>
        </w:rPr>
      </w:pPr>
    </w:p>
    <w:p>
      <w:pPr>
        <w:ind w:left="280"/>
        <w:spacing w:after="0" w:line="173" w:lineRule="exact"/>
        <w:tabs>
          <w:tab w:leader="none" w:pos="1900" w:val="left"/>
          <w:tab w:leader="none" w:pos="2500" w:val="left"/>
          <w:tab w:leader="none" w:pos="3220" w:val="left"/>
          <w:tab w:leader="none" w:pos="5800" w:val="left"/>
          <w:tab w:leader="none" w:pos="6420" w:val="left"/>
        </w:tabs>
        <w:rPr>
          <w:sz w:val="20"/>
          <w:szCs w:val="20"/>
          <w:color w:val="auto"/>
        </w:rPr>
      </w:pPr>
      <w:r>
        <w:rPr>
          <w:rFonts w:ascii="Arial" w:cs="Arial" w:eastAsia="Arial" w:hAnsi="Arial"/>
          <w:sz w:val="14"/>
          <w:szCs w:val="14"/>
          <w:color w:val="auto"/>
        </w:rPr>
        <w:t>Boston Properties,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9" w:lineRule="exact"/>
        <w:rPr>
          <w:sz w:val="20"/>
          <w:szCs w:val="20"/>
          <w:color w:val="auto"/>
        </w:rPr>
      </w:pPr>
    </w:p>
    <w:p>
      <w:pPr>
        <w:ind w:right="360" w:firstLine="284"/>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auto"/>
              </w:rPr>
              <w:t>Boston Properties, Inc.:</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80" w:type="dxa"/>
            <w:vAlign w:val="bottom"/>
          </w:tcPr>
          <w:p>
            <w:pPr>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tc>
        <w:tc>
          <w:tcPr>
            <w:tcW w:w="1160" w:type="dxa"/>
            <w:vAlign w:val="bottom"/>
          </w:tcPr>
          <w:p>
            <w:pPr>
              <w:ind w:left="6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560" w:type="dxa"/>
            <w:vAlign w:val="bottom"/>
          </w:tcPr>
          <w:p>
            <w:pPr>
              <w:ind w:left="160"/>
              <w:spacing w:after="0"/>
              <w:rPr>
                <w:sz w:val="20"/>
                <w:szCs w:val="20"/>
                <w:color w:val="auto"/>
              </w:rPr>
            </w:pPr>
            <w:r>
              <w:rPr>
                <w:rFonts w:ascii="Arial" w:cs="Arial" w:eastAsia="Arial" w:hAnsi="Arial"/>
                <w:sz w:val="14"/>
                <w:szCs w:val="14"/>
                <w:color w:val="auto"/>
              </w:rPr>
              <w:t>Non-accelerated Filer</w:t>
            </w:r>
          </w:p>
        </w:tc>
        <w:tc>
          <w:tcPr>
            <w:tcW w:w="3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6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2"/>
        </w:trPr>
        <w:tc>
          <w:tcPr>
            <w:tcW w:w="198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spacing w:after="0"/>
              <w:rPr>
                <w:sz w:val="20"/>
                <w:szCs w:val="20"/>
                <w:color w:val="auto"/>
              </w:rPr>
            </w:pPr>
            <w:r>
              <w:rPr>
                <w:rFonts w:ascii="Arial" w:cs="Arial" w:eastAsia="Arial" w:hAnsi="Arial"/>
                <w:sz w:val="14"/>
                <w:szCs w:val="14"/>
                <w:color w:val="auto"/>
              </w:rPr>
              <w:t>Boston Properties Limited Partnership:</w:t>
            </w: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160" w:type="dxa"/>
            <w:vAlign w:val="bottom"/>
          </w:tcPr>
          <w:p>
            <w:pPr>
              <w:ind w:left="4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560" w:type="dxa"/>
            <w:vAlign w:val="bottom"/>
          </w:tcPr>
          <w:p>
            <w:pPr>
              <w:ind w:left="180"/>
              <w:spacing w:after="0"/>
              <w:rPr>
                <w:sz w:val="20"/>
                <w:szCs w:val="20"/>
                <w:color w:val="auto"/>
              </w:rPr>
            </w:pPr>
            <w:r>
              <w:rPr>
                <w:rFonts w:ascii="Arial" w:cs="Arial" w:eastAsia="Arial" w:hAnsi="Arial"/>
                <w:sz w:val="14"/>
                <w:szCs w:val="14"/>
                <w:color w:val="auto"/>
              </w:rPr>
              <w:t>Non-accelerated Filer</w:t>
            </w:r>
          </w:p>
        </w:tc>
        <w:tc>
          <w:tcPr>
            <w:tcW w:w="360" w:type="dxa"/>
            <w:vAlign w:val="bottom"/>
            <w:vMerge w:val="continue"/>
          </w:tcPr>
          <w:p>
            <w:pPr>
              <w:spacing w:after="0"/>
              <w:rPr>
                <w:sz w:val="16"/>
                <w:szCs w:val="16"/>
                <w:color w:val="auto"/>
              </w:rPr>
            </w:pPr>
          </w:p>
        </w:tc>
        <w:tc>
          <w:tcPr>
            <w:tcW w:w="2260" w:type="dxa"/>
            <w:vAlign w:val="bottom"/>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2"/>
        </w:trPr>
        <w:tc>
          <w:tcPr>
            <w:tcW w:w="198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60" w:firstLine="284"/>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pacing w:after="0" w:line="29"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Boston Properties,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42" w:lineRule="exact"/>
        <w:rPr>
          <w:sz w:val="20"/>
          <w:szCs w:val="20"/>
          <w:color w:val="auto"/>
        </w:rPr>
      </w:pPr>
    </w:p>
    <w:p>
      <w:pPr>
        <w:ind w:right="260" w:firstLine="284"/>
        <w:spacing w:after="0" w:line="26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3" w:lineRule="exact"/>
        <w:rPr>
          <w:sz w:val="20"/>
          <w:szCs w:val="20"/>
          <w:color w:val="auto"/>
        </w:rPr>
      </w:pPr>
    </w:p>
    <w:p>
      <w:pPr>
        <w:ind w:left="280"/>
        <w:spacing w:after="0" w:line="173" w:lineRule="exact"/>
        <w:rPr>
          <w:sz w:val="20"/>
          <w:szCs w:val="20"/>
          <w:color w:val="auto"/>
        </w:rPr>
      </w:pPr>
      <w:r>
        <w:rPr>
          <w:rFonts w:ascii="Arial" w:cs="Arial" w:eastAsia="Arial" w:hAnsi="Arial"/>
          <w:sz w:val="14"/>
          <w:szCs w:val="14"/>
          <w:color w:val="auto"/>
        </w:rPr>
        <w:t xml:space="preserve">Boston Properties, Inc. </w:t>
      </w:r>
      <w:r>
        <w:rPr>
          <w:rFonts w:ascii="MS PGothic" w:cs="MS PGothic" w:eastAsia="MS PGothic" w:hAnsi="MS PGothic"/>
          <w:sz w:val="15"/>
          <w:szCs w:val="15"/>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5"/>
          <w:szCs w:val="15"/>
          <w:color w:val="auto"/>
        </w:rPr>
        <w:t>☒</w:t>
      </w:r>
    </w:p>
    <w:p>
      <w:pPr>
        <w:spacing w:after="0" w:line="249" w:lineRule="exact"/>
        <w:rPr>
          <w:sz w:val="20"/>
          <w:szCs w:val="20"/>
          <w:color w:val="auto"/>
        </w:rPr>
      </w:pPr>
    </w:p>
    <w:p>
      <w:pPr>
        <w:ind w:right="3440" w:firstLine="284"/>
        <w:spacing w:after="0" w:line="261"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9"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Boston Properties,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42" w:lineRule="exact"/>
        <w:rPr>
          <w:sz w:val="20"/>
          <w:szCs w:val="20"/>
          <w:color w:val="auto"/>
        </w:rPr>
      </w:pPr>
    </w:p>
    <w:p>
      <w:pPr>
        <w:ind w:right="320" w:firstLine="284"/>
        <w:spacing w:after="0" w:line="261"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9"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Boston Properties,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46" w:lineRule="exact"/>
        <w:rPr>
          <w:sz w:val="20"/>
          <w:szCs w:val="20"/>
          <w:color w:val="auto"/>
        </w:rPr>
      </w:pPr>
    </w:p>
    <w:p>
      <w:pPr>
        <w:ind w:left="280"/>
        <w:spacing w:after="0" w:line="173" w:lineRule="exact"/>
        <w:tabs>
          <w:tab w:leader="none" w:pos="1900" w:val="left"/>
          <w:tab w:leader="none" w:pos="2460" w:val="left"/>
          <w:tab w:leader="none" w:pos="3180" w:val="left"/>
          <w:tab w:leader="none" w:pos="5760" w:val="left"/>
          <w:tab w:leader="none" w:pos="6360" w:val="left"/>
        </w:tabs>
        <w:rPr>
          <w:sz w:val="20"/>
          <w:szCs w:val="20"/>
          <w:color w:val="auto"/>
        </w:rPr>
      </w:pPr>
      <w:r>
        <w:rPr>
          <w:rFonts w:ascii="Arial" w:cs="Arial" w:eastAsia="Arial" w:hAnsi="Arial"/>
          <w:sz w:val="14"/>
          <w:szCs w:val="14"/>
          <w:color w:val="auto"/>
        </w:rPr>
        <w:t>Boston Properties, Inc.:</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June 30, 2022, the aggregate market value of the 156,405,989 shares of Common Stock held by non-affiliates of Boston Properties, Inc. was $13,917,004,905 based</w:t>
      </w:r>
    </w:p>
    <w:p>
      <w:pPr>
        <w:spacing w:after="0" w:line="220" w:lineRule="auto"/>
        <w:rPr>
          <w:sz w:val="20"/>
          <w:szCs w:val="20"/>
          <w:color w:val="auto"/>
        </w:rPr>
      </w:pPr>
      <w:r>
        <w:rPr>
          <w:rFonts w:ascii="Arial" w:cs="Arial" w:eastAsia="Arial" w:hAnsi="Arial"/>
          <w:sz w:val="14"/>
          <w:szCs w:val="14"/>
          <w:color w:val="auto"/>
        </w:rPr>
        <w:t>upon the last reported sale price of $88.98 per share on the New York Stock Exchange on June 30, 2022. (For this computation, Boston Properties, Inc. has excluded the market value of all shares of Common Stock reported as beneficially owned by executive officers and directors of Boston Properties, Inc.; such exclusion shall not be deemed to constitute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 admission that any such person is an affiliate of Boston Properties, Inc.).</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February 21, 2023, there were 156,822,702 shares of Common Stock of Boston Properties, Inc. outstanding.</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Because no established market for common units of limited partnership of Boston Properties Limited Partnership exists, there is no market value for such units.</w:t>
      </w:r>
    </w:p>
    <w:p>
      <w:pPr>
        <w:spacing w:after="0" w:line="206" w:lineRule="exact"/>
        <w:rPr>
          <w:sz w:val="20"/>
          <w:szCs w:val="20"/>
          <w:color w:val="auto"/>
        </w:rPr>
      </w:pPr>
    </w:p>
    <w:p>
      <w:pPr>
        <w:ind w:right="60" w:firstLine="284"/>
        <w:spacing w:after="0" w:line="263" w:lineRule="auto"/>
        <w:rPr>
          <w:sz w:val="20"/>
          <w:szCs w:val="20"/>
          <w:color w:val="auto"/>
        </w:rPr>
      </w:pPr>
      <w:r>
        <w:rPr>
          <w:rFonts w:ascii="Arial" w:cs="Arial" w:eastAsia="Arial" w:hAnsi="Arial"/>
          <w:sz w:val="14"/>
          <w:szCs w:val="14"/>
          <w:color w:val="auto"/>
        </w:rPr>
        <w:t>Certain information contained in Boston Properties Inc.’s Proxy Statement relating to its Annual Meeting of Stockholders to be held May 23, 2023 is incorporated by reference in Items 10, 11, 12, 13 and 14 of Part III. Boston Properties, Inc. intends to file such Proxy Statement with the Securities and Exchange Commission not later than 120 days after the end of its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575945</wp:posOffset>
            </wp:positionV>
            <wp:extent cx="717423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230"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114300</wp:posOffset>
            </wp:positionV>
            <wp:extent cx="71488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84455</wp:posOffset>
            </wp:positionV>
            <wp:extent cx="71488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EXPLANATORY NOTE</w:t>
      </w:r>
    </w:p>
    <w:p>
      <w:pPr>
        <w:spacing w:after="0" w:line="16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This report combines the Annual Reports on Form 10-K for the fiscal year ended December 31, 2022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39" w:lineRule="exact"/>
        <w:rPr>
          <w:sz w:val="20"/>
          <w:szCs w:val="20"/>
          <w:color w:val="auto"/>
        </w:rPr>
      </w:pPr>
    </w:p>
    <w:p>
      <w:pPr>
        <w:ind w:right="20" w:firstLine="391"/>
        <w:spacing w:after="0" w:line="265" w:lineRule="auto"/>
        <w:rPr>
          <w:sz w:val="20"/>
          <w:szCs w:val="20"/>
          <w:color w:val="auto"/>
        </w:rPr>
      </w:pPr>
      <w:r>
        <w:rPr>
          <w:rFonts w:ascii="Arial" w:cs="Arial" w:eastAsia="Arial" w:hAnsi="Arial"/>
          <w:sz w:val="15"/>
          <w:szCs w:val="15"/>
          <w:color w:val="auto"/>
        </w:rPr>
        <w:t>As of December 31, 2022, BXP owned an approximate 89.6% ownership interest in BPLP. The remaining approximate 10.4% interest was owned by limited partners. The other limited partners of BPLP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believes that combining the Annual Reports on Form 10-K of BXP and BPLP into this single report:</w:t>
      </w:r>
    </w:p>
    <w:p>
      <w:pPr>
        <w:spacing w:after="0" w:line="136" w:lineRule="exact"/>
        <w:rPr>
          <w:sz w:val="20"/>
          <w:szCs w:val="20"/>
          <w:color w:val="auto"/>
        </w:rPr>
      </w:pPr>
    </w:p>
    <w:p>
      <w:pPr>
        <w:ind w:left="640" w:right="20" w:hanging="290"/>
        <w:spacing w:after="0" w:line="253"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enhances investors’ understanding of BXP and BPLP by enabling them to view the business as a whole in the same manner as management views and operates the business;</w:t>
      </w:r>
    </w:p>
    <w:p>
      <w:pPr>
        <w:spacing w:after="0" w:line="109" w:lineRule="exact"/>
        <w:rPr>
          <w:rFonts w:ascii="Arial" w:cs="Arial" w:eastAsia="Arial" w:hAnsi="Arial"/>
          <w:sz w:val="16"/>
          <w:szCs w:val="16"/>
          <w:color w:val="auto"/>
        </w:rPr>
      </w:pPr>
    </w:p>
    <w:p>
      <w:pPr>
        <w:ind w:left="640" w:right="60" w:hanging="290"/>
        <w:spacing w:after="0" w:line="253"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eliminates duplicative disclosure and provides a more concise and readable presentation because a substantial portion of the disclosure applies to both BXP and BPLP; and</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creates time and cost efficiencies through the preparation of one combined report instead of two separate reports.</w:t>
      </w:r>
    </w:p>
    <w:p>
      <w:pPr>
        <w:spacing w:after="0" w:line="148"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8" w:lineRule="exact"/>
        <w:rPr>
          <w:sz w:val="20"/>
          <w:szCs w:val="20"/>
          <w:color w:val="auto"/>
        </w:rPr>
      </w:pPr>
    </w:p>
    <w:p>
      <w:pPr>
        <w:ind w:right="180" w:firstLine="391"/>
        <w:spacing w:after="0" w:line="249" w:lineRule="auto"/>
        <w:rPr>
          <w:sz w:val="20"/>
          <w:szCs w:val="20"/>
          <w:color w:val="auto"/>
        </w:rPr>
      </w:pPr>
      <w:r>
        <w:rPr>
          <w:rFonts w:ascii="Arial" w:cs="Arial" w:eastAsia="Arial" w:hAnsi="Arial"/>
          <w:sz w:val="16"/>
          <w:szCs w:val="16"/>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473710</wp:posOffset>
            </wp:positionV>
            <wp:extent cx="717423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noncontrolling interests in BPLP and limited partners of BPLP. The differences between shareholders’ equity and partners’ capital result from differences in the equity issued by each of BXP and BPLP.</w:t>
      </w:r>
    </w:p>
    <w:p>
      <w:pPr>
        <w:spacing w:after="0" w:line="13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$249.9 million, or 1.3% at December 31, 2022,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39" w:lineRule="exact"/>
        <w:rPr>
          <w:sz w:val="20"/>
          <w:szCs w:val="20"/>
          <w:color w:val="auto"/>
        </w:rPr>
      </w:pPr>
    </w:p>
    <w:p>
      <w:pPr>
        <w:ind w:right="160" w:firstLine="391"/>
        <w:spacing w:after="0" w:line="253" w:lineRule="auto"/>
        <w:rPr>
          <w:sz w:val="20"/>
          <w:szCs w:val="20"/>
          <w:color w:val="auto"/>
        </w:rPr>
      </w:pPr>
      <w:r>
        <w:rPr>
          <w:rFonts w:ascii="Arial" w:cs="Arial" w:eastAsia="Arial" w:hAnsi="Arial"/>
          <w:sz w:val="16"/>
          <w:szCs w:val="16"/>
          <w:color w:val="auto"/>
        </w:rPr>
        <w:t>To help investors better understand the key differences between BXP and BPLP, the following items in this report present information separately for BXP and BPLP:</w:t>
      </w:r>
    </w:p>
    <w:p>
      <w:pPr>
        <w:spacing w:after="0" w:line="134" w:lineRule="exact"/>
        <w:rPr>
          <w:sz w:val="20"/>
          <w:szCs w:val="20"/>
          <w:color w:val="auto"/>
        </w:rPr>
      </w:pPr>
    </w:p>
    <w:p>
      <w:pPr>
        <w:ind w:left="1120" w:hanging="272"/>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5. Market for Registrant’s Common Equity, Related Stockholder Matters and Issuer Purchases of Equity Securities;</w:t>
      </w:r>
    </w:p>
    <w:p>
      <w:pPr>
        <w:spacing w:after="0" w:line="147" w:lineRule="exact"/>
        <w:rPr>
          <w:rFonts w:ascii="Arial" w:cs="Arial" w:eastAsia="Arial" w:hAnsi="Arial"/>
          <w:sz w:val="16"/>
          <w:szCs w:val="16"/>
          <w:color w:val="auto"/>
        </w:rPr>
      </w:pPr>
    </w:p>
    <w:p>
      <w:pPr>
        <w:ind w:left="1140" w:right="80" w:hanging="292"/>
        <w:spacing w:after="0" w:line="253" w:lineRule="auto"/>
        <w:tabs>
          <w:tab w:leader="none" w:pos="11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7. Management’s Discussion and Analysis of Financial Condition and Results of Operations and Liquidity and Capital Resources, includes information specific to each entity, where applicable;</w:t>
      </w:r>
    </w:p>
    <w:p>
      <w:pPr>
        <w:spacing w:after="0" w:line="133" w:lineRule="exact"/>
        <w:rPr>
          <w:rFonts w:ascii="Arial" w:cs="Arial" w:eastAsia="Arial" w:hAnsi="Arial"/>
          <w:sz w:val="16"/>
          <w:szCs w:val="16"/>
          <w:color w:val="auto"/>
        </w:rPr>
      </w:pPr>
    </w:p>
    <w:p>
      <w:pPr>
        <w:ind w:left="1120" w:hanging="272"/>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8. Financial Statements and Supplementary Data which includes the following specific disclosures for BXP and BPLP:</w:t>
      </w:r>
    </w:p>
    <w:p>
      <w:pPr>
        <w:spacing w:after="0" w:line="147" w:lineRule="exact"/>
        <w:rPr>
          <w:rFonts w:ascii="Arial" w:cs="Arial" w:eastAsia="Arial" w:hAnsi="Arial"/>
          <w:sz w:val="16"/>
          <w:szCs w:val="16"/>
          <w:color w:val="auto"/>
        </w:rPr>
      </w:pPr>
    </w:p>
    <w:p>
      <w:pPr>
        <w:ind w:left="1700" w:hanging="176"/>
        <w:spacing w:after="0"/>
        <w:tabs>
          <w:tab w:leader="none" w:pos="1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Note 2. Summary of Significant Accounting Policies;</w:t>
      </w:r>
    </w:p>
    <w:p>
      <w:pPr>
        <w:spacing w:after="0" w:line="147" w:lineRule="exact"/>
        <w:rPr>
          <w:rFonts w:ascii="Arial" w:cs="Arial" w:eastAsia="Arial" w:hAnsi="Arial"/>
          <w:sz w:val="16"/>
          <w:szCs w:val="16"/>
          <w:color w:val="auto"/>
        </w:rPr>
      </w:pPr>
    </w:p>
    <w:p>
      <w:pPr>
        <w:ind w:left="1700" w:hanging="176"/>
        <w:spacing w:after="0"/>
        <w:tabs>
          <w:tab w:leader="none" w:pos="1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Note 3. Real Estate;</w:t>
      </w:r>
    </w:p>
    <w:p>
      <w:pPr>
        <w:spacing w:after="0" w:line="147" w:lineRule="exact"/>
        <w:rPr>
          <w:rFonts w:ascii="Arial" w:cs="Arial" w:eastAsia="Arial" w:hAnsi="Arial"/>
          <w:sz w:val="16"/>
          <w:szCs w:val="16"/>
          <w:color w:val="auto"/>
        </w:rPr>
      </w:pPr>
    </w:p>
    <w:p>
      <w:pPr>
        <w:ind w:left="1700" w:hanging="176"/>
        <w:spacing w:after="0"/>
        <w:tabs>
          <w:tab w:leader="none" w:pos="1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Note 10. Stockholders’ Equity / Partners’ Capital;</w:t>
      </w:r>
    </w:p>
    <w:p>
      <w:pPr>
        <w:spacing w:after="0" w:line="147" w:lineRule="exact"/>
        <w:rPr>
          <w:rFonts w:ascii="Arial" w:cs="Arial" w:eastAsia="Arial" w:hAnsi="Arial"/>
          <w:sz w:val="16"/>
          <w:szCs w:val="16"/>
          <w:color w:val="auto"/>
        </w:rPr>
      </w:pPr>
    </w:p>
    <w:p>
      <w:pPr>
        <w:ind w:left="1700" w:hanging="176"/>
        <w:spacing w:after="0"/>
        <w:tabs>
          <w:tab w:leader="none" w:pos="1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Note 11. Segment Information; and</w:t>
      </w:r>
    </w:p>
    <w:p>
      <w:pPr>
        <w:spacing w:after="0" w:line="147" w:lineRule="exact"/>
        <w:rPr>
          <w:rFonts w:ascii="Arial" w:cs="Arial" w:eastAsia="Arial" w:hAnsi="Arial"/>
          <w:sz w:val="16"/>
          <w:szCs w:val="16"/>
          <w:color w:val="auto"/>
        </w:rPr>
      </w:pPr>
    </w:p>
    <w:p>
      <w:pPr>
        <w:ind w:left="1700" w:hanging="176"/>
        <w:spacing w:after="0"/>
        <w:tabs>
          <w:tab w:leader="none" w:pos="1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Note 12. Earnings Per Share / Common Unit;</w:t>
      </w:r>
    </w:p>
    <w:p>
      <w:pPr>
        <w:spacing w:after="0" w:line="218" w:lineRule="exact"/>
        <w:rPr>
          <w:rFonts w:ascii="Arial" w:cs="Arial" w:eastAsia="Arial" w:hAnsi="Arial"/>
          <w:sz w:val="16"/>
          <w:szCs w:val="16"/>
          <w:color w:val="auto"/>
        </w:rPr>
      </w:pPr>
    </w:p>
    <w:p>
      <w:pPr>
        <w:ind w:left="1120" w:hanging="201"/>
        <w:spacing w:after="0"/>
        <w:tabs>
          <w:tab w:leader="none" w:pos="11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Item 15. Financial Statement Schedule—Schedule 3.</w:t>
      </w:r>
    </w:p>
    <w:p>
      <w:pPr>
        <w:spacing w:after="0" w:line="349"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This report also includes separate Part II, Item 9A. Controls and Procedures, as well as separate Exhibit 23 consents of the independent registered public accounting firm and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471170</wp:posOffset>
            </wp:positionV>
            <wp:extent cx="717423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280" w:type="dxa"/>
            <w:vAlign w:val="bottom"/>
            <w:gridSpan w:val="5"/>
          </w:tcPr>
          <w:p>
            <w:pPr>
              <w:spacing w:after="0"/>
              <w:rPr>
                <w:sz w:val="20"/>
                <w:szCs w:val="20"/>
                <w:color w:val="auto"/>
              </w:rPr>
            </w:pPr>
            <w:r>
              <w:rPr>
                <w:rFonts w:ascii="Arial" w:cs="Arial" w:eastAsia="Arial" w:hAnsi="Arial"/>
                <w:sz w:val="16"/>
                <w:szCs w:val="16"/>
                <w:color w:val="0000FF"/>
                <w:w w:val="99"/>
              </w:rPr>
              <w:t>Table of Contents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3"/>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3"/>
          </w:tcPr>
          <w:p>
            <w:pPr>
              <w:ind w:left="900"/>
              <w:spacing w:after="0"/>
              <w:rPr>
                <w:sz w:val="20"/>
                <w:szCs w:val="20"/>
                <w:color w:val="auto"/>
              </w:rPr>
            </w:pPr>
            <w:r>
              <w:rPr>
                <w:rFonts w:ascii="Arial" w:cs="Arial" w:eastAsia="Arial" w:hAnsi="Arial"/>
                <w:sz w:val="16"/>
                <w:szCs w:val="16"/>
                <w:b w:val="1"/>
                <w:bCs w:val="1"/>
                <w:color w:val="auto"/>
              </w:rPr>
              <w:t>TABLE OF CONTENTS</w:t>
            </w: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w w:val="95"/>
              </w:rPr>
              <w:t>ITEM NO.</w:t>
            </w:r>
          </w:p>
        </w:tc>
        <w:tc>
          <w:tcPr>
            <w:tcW w:w="5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6"/>
                <w:szCs w:val="16"/>
                <w:b w:val="1"/>
                <w:bCs w:val="1"/>
                <w:color w:val="0000FF"/>
                <w:w w:val="95"/>
              </w:rPr>
              <w:t>PART I</w:t>
            </w:r>
          </w:p>
        </w:tc>
        <w:tc>
          <w:tcPr>
            <w:tcW w:w="160" w:type="dxa"/>
            <w:vAlign w:val="bottom"/>
            <w:tcBorders>
              <w:top w:val="single" w:sz="8" w:color="auto"/>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4"/>
                <w:szCs w:val="24"/>
                <w:color w:val="auto"/>
              </w:rPr>
            </w:pPr>
          </w:p>
        </w:tc>
        <w:tc>
          <w:tcPr>
            <w:tcW w:w="10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6"/>
                <w:szCs w:val="16"/>
                <w:color w:val="0000FF"/>
                <w:w w:val="89"/>
              </w:rPr>
              <w:t>3</w:t>
            </w:r>
          </w:p>
        </w:tc>
        <w:tc>
          <w:tcPr>
            <w:tcW w:w="0" w:type="dxa"/>
            <w:vAlign w:val="bottom"/>
          </w:tcPr>
          <w:p>
            <w:pPr>
              <w:spacing w:after="0"/>
              <w:rPr>
                <w:sz w:val="1"/>
                <w:szCs w:val="1"/>
                <w:color w:val="auto"/>
              </w:rPr>
            </w:pPr>
          </w:p>
        </w:tc>
      </w:tr>
      <w:tr>
        <w:trPr>
          <w:trHeight w:val="181"/>
        </w:trPr>
        <w:tc>
          <w:tcPr>
            <w:tcW w:w="5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0000FF"/>
            </w:tcBorders>
          </w:tcPr>
          <w:p>
            <w:pPr>
              <w:spacing w:after="0" w:line="181" w:lineRule="exact"/>
              <w:rPr>
                <w:sz w:val="20"/>
                <w:szCs w:val="20"/>
                <w:color w:val="auto"/>
              </w:rPr>
            </w:pPr>
            <w:r>
              <w:rPr>
                <w:rFonts w:ascii="Arial" w:cs="Arial" w:eastAsia="Arial" w:hAnsi="Arial"/>
                <w:sz w:val="16"/>
                <w:szCs w:val="16"/>
                <w:color w:val="0000FF"/>
                <w:w w:val="96"/>
              </w:rPr>
              <w:t>BUSINESS</w:t>
            </w:r>
          </w:p>
        </w:tc>
        <w:tc>
          <w:tcPr>
            <w:tcW w:w="6380" w:type="dxa"/>
            <w:vAlign w:val="bottom"/>
            <w:gridSpan w:val="8"/>
          </w:tcPr>
          <w:p>
            <w:pPr>
              <w:spacing w:after="0"/>
              <w:rPr>
                <w:sz w:val="15"/>
                <w:szCs w:val="15"/>
                <w:color w:val="auto"/>
              </w:rPr>
            </w:pPr>
          </w:p>
        </w:tc>
        <w:tc>
          <w:tcPr>
            <w:tcW w:w="2660" w:type="dxa"/>
            <w:vAlign w:val="bottom"/>
            <w:gridSpan w:val="3"/>
          </w:tcPr>
          <w:p>
            <w:pPr>
              <w:spacing w:after="0"/>
              <w:rPr>
                <w:sz w:val="15"/>
                <w:szCs w:val="15"/>
                <w:color w:val="auto"/>
              </w:rPr>
            </w:pPr>
          </w:p>
        </w:tc>
        <w:tc>
          <w:tcPr>
            <w:tcW w:w="100" w:type="dxa"/>
            <w:vAlign w:val="bottom"/>
            <w:tcBorders>
              <w:bottom w:val="single" w:sz="8" w:color="0000FF"/>
            </w:tcBorders>
          </w:tcPr>
          <w:p>
            <w:pPr>
              <w:jc w:val="right"/>
              <w:spacing w:after="0" w:line="181" w:lineRule="exact"/>
              <w:rPr>
                <w:sz w:val="20"/>
                <w:szCs w:val="20"/>
                <w:color w:val="auto"/>
              </w:rPr>
            </w:pPr>
            <w:r>
              <w:rPr>
                <w:rFonts w:ascii="Arial" w:cs="Arial" w:eastAsia="Arial" w:hAnsi="Arial"/>
                <w:sz w:val="16"/>
                <w:szCs w:val="16"/>
                <w:color w:val="0000FF"/>
                <w:w w:val="89"/>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4"/>
          </w:tcPr>
          <w:p>
            <w:pPr>
              <w:spacing w:after="0" w:line="181" w:lineRule="exact"/>
              <w:rPr>
                <w:sz w:val="20"/>
                <w:szCs w:val="20"/>
                <w:color w:val="auto"/>
              </w:rPr>
            </w:pPr>
            <w:r>
              <w:rPr>
                <w:rFonts w:ascii="Arial" w:cs="Arial" w:eastAsia="Arial" w:hAnsi="Arial"/>
                <w:sz w:val="16"/>
                <w:szCs w:val="16"/>
                <w:color w:val="auto"/>
              </w:rPr>
              <w:t>1A.</w:t>
            </w:r>
          </w:p>
        </w:tc>
        <w:tc>
          <w:tcPr>
            <w:tcW w:w="1160" w:type="dxa"/>
            <w:vAlign w:val="bottom"/>
            <w:gridSpan w:val="3"/>
          </w:tcPr>
          <w:p>
            <w:pPr>
              <w:spacing w:after="0" w:line="181" w:lineRule="exact"/>
              <w:rPr>
                <w:sz w:val="20"/>
                <w:szCs w:val="20"/>
                <w:color w:val="auto"/>
              </w:rPr>
            </w:pPr>
            <w:r>
              <w:rPr>
                <w:rFonts w:ascii="Arial" w:cs="Arial" w:eastAsia="Arial" w:hAnsi="Arial"/>
                <w:sz w:val="16"/>
                <w:szCs w:val="16"/>
                <w:color w:val="0000FF"/>
                <w:w w:val="96"/>
              </w:rPr>
              <w:t>RISK FACTORS</w:t>
            </w:r>
          </w:p>
        </w:tc>
        <w:tc>
          <w:tcPr>
            <w:tcW w:w="6020" w:type="dxa"/>
            <w:vAlign w:val="bottom"/>
            <w:gridSpan w:val="6"/>
          </w:tcPr>
          <w:p>
            <w:pPr>
              <w:spacing w:after="0"/>
              <w:rPr>
                <w:sz w:val="15"/>
                <w:szCs w:val="15"/>
                <w:color w:val="auto"/>
              </w:rPr>
            </w:pPr>
          </w:p>
        </w:tc>
        <w:tc>
          <w:tcPr>
            <w:tcW w:w="2760" w:type="dxa"/>
            <w:vAlign w:val="bottom"/>
            <w:gridSpan w:val="4"/>
          </w:tcPr>
          <w:p>
            <w:pPr>
              <w:jc w:val="right"/>
              <w:spacing w:after="0" w:line="181" w:lineRule="exact"/>
              <w:rPr>
                <w:sz w:val="20"/>
                <w:szCs w:val="20"/>
                <w:color w:val="auto"/>
              </w:rPr>
            </w:pPr>
            <w:r>
              <w:rPr>
                <w:rFonts w:ascii="Arial" w:cs="Arial" w:eastAsia="Arial" w:hAnsi="Arial"/>
                <w:sz w:val="16"/>
                <w:szCs w:val="16"/>
                <w:color w:val="0000FF"/>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4"/>
          </w:tcPr>
          <w:p>
            <w:pPr>
              <w:spacing w:after="0" w:line="181" w:lineRule="exact"/>
              <w:rPr>
                <w:sz w:val="20"/>
                <w:szCs w:val="20"/>
                <w:color w:val="auto"/>
              </w:rPr>
            </w:pPr>
            <w:r>
              <w:rPr>
                <w:rFonts w:ascii="Arial" w:cs="Arial" w:eastAsia="Arial" w:hAnsi="Arial"/>
                <w:sz w:val="16"/>
                <w:szCs w:val="16"/>
                <w:color w:val="auto"/>
              </w:rPr>
              <w:t>1B.</w:t>
            </w:r>
          </w:p>
        </w:tc>
        <w:tc>
          <w:tcPr>
            <w:tcW w:w="2580" w:type="dxa"/>
            <w:vAlign w:val="bottom"/>
            <w:gridSpan w:val="6"/>
          </w:tcPr>
          <w:p>
            <w:pPr>
              <w:spacing w:after="0" w:line="181" w:lineRule="exact"/>
              <w:rPr>
                <w:sz w:val="20"/>
                <w:szCs w:val="20"/>
                <w:color w:val="auto"/>
              </w:rPr>
            </w:pPr>
            <w:r>
              <w:rPr>
                <w:rFonts w:ascii="Arial" w:cs="Arial" w:eastAsia="Arial" w:hAnsi="Arial"/>
                <w:sz w:val="16"/>
                <w:szCs w:val="16"/>
                <w:color w:val="0000FF"/>
                <w:w w:val="97"/>
              </w:rPr>
              <w:t>UNRESOLVED STAFF COMMENTS</w:t>
            </w:r>
          </w:p>
        </w:tc>
        <w:tc>
          <w:tcPr>
            <w:tcW w:w="4600" w:type="dxa"/>
            <w:vAlign w:val="bottom"/>
            <w:gridSpan w:val="3"/>
          </w:tcPr>
          <w:p>
            <w:pPr>
              <w:spacing w:after="0"/>
              <w:rPr>
                <w:sz w:val="15"/>
                <w:szCs w:val="15"/>
                <w:color w:val="auto"/>
              </w:rPr>
            </w:pPr>
          </w:p>
        </w:tc>
        <w:tc>
          <w:tcPr>
            <w:tcW w:w="2760" w:type="dxa"/>
            <w:vAlign w:val="bottom"/>
            <w:gridSpan w:val="4"/>
          </w:tcPr>
          <w:p>
            <w:pPr>
              <w:jc w:val="right"/>
              <w:spacing w:after="0" w:line="181" w:lineRule="exact"/>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spacing w:after="0" w:line="181" w:lineRule="exact"/>
              <w:rPr>
                <w:sz w:val="20"/>
                <w:szCs w:val="20"/>
                <w:color w:val="auto"/>
              </w:rPr>
            </w:pPr>
            <w:r>
              <w:rPr>
                <w:rFonts w:ascii="Arial" w:cs="Arial" w:eastAsia="Arial" w:hAnsi="Arial"/>
                <w:sz w:val="16"/>
                <w:szCs w:val="16"/>
                <w:color w:val="0000FF"/>
                <w:w w:val="96"/>
              </w:rPr>
              <w:t>PROPERTIES</w:t>
            </w:r>
          </w:p>
        </w:tc>
        <w:tc>
          <w:tcPr>
            <w:tcW w:w="1560" w:type="dxa"/>
            <w:vAlign w:val="bottom"/>
            <w:gridSpan w:val="4"/>
          </w:tcPr>
          <w:p>
            <w:pPr>
              <w:spacing w:after="0"/>
              <w:rPr>
                <w:sz w:val="15"/>
                <w:szCs w:val="15"/>
                <w:color w:val="auto"/>
              </w:rPr>
            </w:pPr>
          </w:p>
        </w:tc>
        <w:tc>
          <w:tcPr>
            <w:tcW w:w="4600" w:type="dxa"/>
            <w:vAlign w:val="bottom"/>
            <w:gridSpan w:val="3"/>
          </w:tcPr>
          <w:p>
            <w:pPr>
              <w:spacing w:after="0"/>
              <w:rPr>
                <w:sz w:val="15"/>
                <w:szCs w:val="15"/>
                <w:color w:val="auto"/>
              </w:rPr>
            </w:pPr>
          </w:p>
        </w:tc>
        <w:tc>
          <w:tcPr>
            <w:tcW w:w="2760" w:type="dxa"/>
            <w:vAlign w:val="bottom"/>
            <w:gridSpan w:val="4"/>
          </w:tcPr>
          <w:p>
            <w:pPr>
              <w:jc w:val="right"/>
              <w:spacing w:after="0" w:line="181" w:lineRule="exact"/>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4"/>
          </w:tcPr>
          <w:p>
            <w:pPr>
              <w:spacing w:after="0" w:line="181" w:lineRule="exact"/>
              <w:rPr>
                <w:sz w:val="20"/>
                <w:szCs w:val="20"/>
                <w:color w:val="auto"/>
              </w:rPr>
            </w:pPr>
            <w:r>
              <w:rPr>
                <w:rFonts w:ascii="Arial" w:cs="Arial" w:eastAsia="Arial" w:hAnsi="Arial"/>
                <w:sz w:val="16"/>
                <w:szCs w:val="16"/>
                <w:color w:val="0000FF"/>
                <w:w w:val="97"/>
              </w:rPr>
              <w:t>LEGAL PROCEEDINGS</w:t>
            </w:r>
          </w:p>
        </w:tc>
        <w:tc>
          <w:tcPr>
            <w:tcW w:w="5460" w:type="dxa"/>
            <w:vAlign w:val="bottom"/>
            <w:gridSpan w:val="5"/>
          </w:tcPr>
          <w:p>
            <w:pPr>
              <w:spacing w:after="0"/>
              <w:rPr>
                <w:sz w:val="15"/>
                <w:szCs w:val="15"/>
                <w:color w:val="auto"/>
              </w:rPr>
            </w:pPr>
          </w:p>
        </w:tc>
        <w:tc>
          <w:tcPr>
            <w:tcW w:w="2760" w:type="dxa"/>
            <w:vAlign w:val="bottom"/>
            <w:gridSpan w:val="4"/>
          </w:tcPr>
          <w:p>
            <w:pPr>
              <w:jc w:val="right"/>
              <w:spacing w:after="0" w:line="181" w:lineRule="exact"/>
              <w:rPr>
                <w:sz w:val="20"/>
                <w:szCs w:val="20"/>
                <w:color w:val="auto"/>
              </w:rPr>
            </w:pPr>
            <w:r>
              <w:rPr>
                <w:rFonts w:ascii="Arial" w:cs="Arial" w:eastAsia="Arial" w:hAnsi="Arial"/>
                <w:sz w:val="16"/>
                <w:szCs w:val="16"/>
                <w:color w:val="0000FF"/>
              </w:rPr>
              <w:t>54</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80" w:type="dxa"/>
            <w:vAlign w:val="bottom"/>
            <w:gridSpan w:val="9"/>
          </w:tcPr>
          <w:p>
            <w:pPr>
              <w:spacing w:after="0" w:line="181" w:lineRule="exact"/>
              <w:rPr>
                <w:sz w:val="20"/>
                <w:szCs w:val="20"/>
                <w:color w:val="auto"/>
              </w:rPr>
            </w:pPr>
            <w:r>
              <w:rPr>
                <w:rFonts w:ascii="Arial" w:cs="Arial" w:eastAsia="Arial" w:hAnsi="Arial"/>
                <w:sz w:val="16"/>
                <w:szCs w:val="16"/>
                <w:color w:val="0000FF"/>
              </w:rPr>
              <w:t>MINE SAFETY DISCLOSURES</w:t>
            </w:r>
          </w:p>
        </w:tc>
        <w:tc>
          <w:tcPr>
            <w:tcW w:w="2760" w:type="dxa"/>
            <w:vAlign w:val="bottom"/>
            <w:gridSpan w:val="4"/>
          </w:tcPr>
          <w:p>
            <w:pPr>
              <w:jc w:val="right"/>
              <w:spacing w:after="0" w:line="181" w:lineRule="exact"/>
              <w:rPr>
                <w:sz w:val="20"/>
                <w:szCs w:val="20"/>
                <w:color w:val="auto"/>
              </w:rPr>
            </w:pPr>
            <w:r>
              <w:rPr>
                <w:rFonts w:ascii="Arial" w:cs="Arial" w:eastAsia="Arial" w:hAnsi="Arial"/>
                <w:sz w:val="16"/>
                <w:szCs w:val="16"/>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4"/>
            <w:vMerge w:val="restart"/>
          </w:tcPr>
          <w:p>
            <w:pPr>
              <w:spacing w:after="0"/>
              <w:rPr>
                <w:sz w:val="20"/>
                <w:szCs w:val="20"/>
                <w:color w:val="auto"/>
              </w:rPr>
            </w:pPr>
            <w:r>
              <w:rPr>
                <w:rFonts w:ascii="Arial" w:cs="Arial" w:eastAsia="Arial" w:hAnsi="Arial"/>
                <w:sz w:val="16"/>
                <w:szCs w:val="16"/>
                <w:b w:val="1"/>
                <w:bCs w:val="1"/>
                <w:color w:val="0000FF"/>
              </w:rPr>
              <w:t>PART II</w:t>
            </w: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color w:val="0000FF"/>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280" w:hanging="1269"/>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0000FF"/>
        </w:rPr>
        <w:t>MARKET FOR REGISTRANT’S COMMON EQUITY, RELATED STOCKHOLDER MATTERS AND ISSUER PURCHASES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Borders>
              <w:top w:val="single" w:sz="8" w:color="0000FF"/>
            </w:tcBorders>
            <w:gridSpan w:val="5"/>
          </w:tcPr>
          <w:p>
            <w:pPr>
              <w:spacing w:after="0" w:line="146" w:lineRule="exact"/>
              <w:rPr>
                <w:sz w:val="20"/>
                <w:szCs w:val="20"/>
                <w:color w:val="auto"/>
              </w:rPr>
            </w:pPr>
            <w:r>
              <w:rPr>
                <w:rFonts w:ascii="Arial" w:cs="Arial" w:eastAsia="Arial" w:hAnsi="Arial"/>
                <w:sz w:val="16"/>
                <w:szCs w:val="16"/>
                <w:color w:val="0000FF"/>
              </w:rPr>
              <w:t>OF EQUITY SECURITIES</w:t>
            </w:r>
          </w:p>
        </w:tc>
        <w:tc>
          <w:tcPr>
            <w:tcW w:w="6300" w:type="dxa"/>
            <w:vAlign w:val="bottom"/>
            <w:tcBorders>
              <w:top w:val="single" w:sz="8" w:color="0000FF"/>
            </w:tcBorders>
            <w:gridSpan w:val="12"/>
          </w:tcPr>
          <w:p>
            <w:pPr>
              <w:spacing w:after="0"/>
              <w:rPr>
                <w:sz w:val="12"/>
                <w:szCs w:val="12"/>
                <w:color w:val="auto"/>
              </w:rPr>
            </w:pPr>
          </w:p>
        </w:tc>
        <w:tc>
          <w:tcPr>
            <w:tcW w:w="1480" w:type="dxa"/>
            <w:vAlign w:val="bottom"/>
            <w:gridSpan w:val="4"/>
          </w:tcPr>
          <w:p>
            <w:pPr>
              <w:jc w:val="right"/>
              <w:ind w:right="40"/>
              <w:spacing w:after="0" w:line="146" w:lineRule="exact"/>
              <w:rPr>
                <w:sz w:val="20"/>
                <w:szCs w:val="20"/>
                <w:color w:val="auto"/>
              </w:rPr>
            </w:pPr>
            <w:r>
              <w:rPr>
                <w:rFonts w:ascii="Arial" w:cs="Arial" w:eastAsia="Arial" w:hAnsi="Arial"/>
                <w:sz w:val="16"/>
                <w:szCs w:val="16"/>
                <w:color w:val="0000FF"/>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6.</w:t>
            </w:r>
          </w:p>
        </w:tc>
        <w:tc>
          <w:tcPr>
            <w:tcW w:w="680" w:type="dxa"/>
            <w:vAlign w:val="bottom"/>
          </w:tcPr>
          <w:p>
            <w:pPr>
              <w:spacing w:after="0"/>
              <w:rPr>
                <w:sz w:val="15"/>
                <w:szCs w:val="15"/>
                <w:color w:val="auto"/>
              </w:rPr>
            </w:pPr>
          </w:p>
        </w:tc>
        <w:tc>
          <w:tcPr>
            <w:tcW w:w="2200" w:type="dxa"/>
            <w:vAlign w:val="bottom"/>
            <w:gridSpan w:val="5"/>
          </w:tcPr>
          <w:p>
            <w:pPr>
              <w:spacing w:after="0" w:line="181" w:lineRule="exact"/>
              <w:rPr>
                <w:sz w:val="20"/>
                <w:szCs w:val="20"/>
                <w:color w:val="auto"/>
              </w:rPr>
            </w:pPr>
            <w:r>
              <w:rPr>
                <w:rFonts w:ascii="Arial" w:cs="Arial" w:eastAsia="Arial" w:hAnsi="Arial"/>
                <w:sz w:val="16"/>
                <w:szCs w:val="16"/>
                <w:color w:val="0000FF"/>
              </w:rPr>
              <w:t>RESERVED</w:t>
            </w:r>
          </w:p>
        </w:tc>
        <w:tc>
          <w:tcPr>
            <w:tcW w:w="6300" w:type="dxa"/>
            <w:vAlign w:val="bottom"/>
            <w:gridSpan w:val="12"/>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7.</w:t>
            </w:r>
          </w:p>
        </w:tc>
        <w:tc>
          <w:tcPr>
            <w:tcW w:w="680" w:type="dxa"/>
            <w:vAlign w:val="bottom"/>
          </w:tcPr>
          <w:p>
            <w:pPr>
              <w:spacing w:after="0"/>
              <w:rPr>
                <w:sz w:val="15"/>
                <w:szCs w:val="15"/>
                <w:color w:val="auto"/>
              </w:rPr>
            </w:pPr>
          </w:p>
        </w:tc>
        <w:tc>
          <w:tcPr>
            <w:tcW w:w="8020" w:type="dxa"/>
            <w:vAlign w:val="bottom"/>
            <w:gridSpan w:val="14"/>
          </w:tcPr>
          <w:p>
            <w:pPr>
              <w:spacing w:after="0" w:line="181" w:lineRule="exact"/>
              <w:rPr>
                <w:sz w:val="20"/>
                <w:szCs w:val="20"/>
                <w:color w:val="auto"/>
              </w:rPr>
            </w:pPr>
            <w:r>
              <w:rPr>
                <w:rFonts w:ascii="Arial" w:cs="Arial" w:eastAsia="Arial" w:hAnsi="Arial"/>
                <w:sz w:val="16"/>
                <w:szCs w:val="16"/>
                <w:color w:val="0000FF"/>
                <w:w w:val="98"/>
              </w:rPr>
              <w:t>MANAGEMENT’S DISCUSSION AND ANALYSIS OF FINANCIAL CONDITION AND RESULTS OF OPERATIONS</w:t>
            </w:r>
          </w:p>
        </w:tc>
        <w:tc>
          <w:tcPr>
            <w:tcW w:w="480" w:type="dxa"/>
            <w:vAlign w:val="bottom"/>
            <w:gridSpan w:val="3"/>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2"/>
          </w:tcPr>
          <w:p>
            <w:pPr>
              <w:spacing w:after="0" w:line="181" w:lineRule="exact"/>
              <w:rPr>
                <w:sz w:val="20"/>
                <w:szCs w:val="20"/>
                <w:color w:val="auto"/>
              </w:rPr>
            </w:pPr>
            <w:r>
              <w:rPr>
                <w:rFonts w:ascii="Arial" w:cs="Arial" w:eastAsia="Arial" w:hAnsi="Arial"/>
                <w:sz w:val="16"/>
                <w:szCs w:val="16"/>
                <w:color w:val="auto"/>
              </w:rPr>
              <w:t>7A.</w:t>
            </w:r>
          </w:p>
        </w:tc>
        <w:tc>
          <w:tcPr>
            <w:tcW w:w="8020" w:type="dxa"/>
            <w:vAlign w:val="bottom"/>
            <w:gridSpan w:val="14"/>
          </w:tcPr>
          <w:p>
            <w:pPr>
              <w:spacing w:after="0" w:line="181" w:lineRule="exact"/>
              <w:rPr>
                <w:sz w:val="20"/>
                <w:szCs w:val="20"/>
                <w:color w:val="auto"/>
              </w:rPr>
            </w:pPr>
            <w:r>
              <w:rPr>
                <w:rFonts w:ascii="Arial" w:cs="Arial" w:eastAsia="Arial" w:hAnsi="Arial"/>
                <w:sz w:val="16"/>
                <w:szCs w:val="16"/>
                <w:color w:val="0000FF"/>
              </w:rPr>
              <w:t>QUANTITATIVE AND QUALITATIVE DISCLOSURES ABOUT MARKET RISK</w:t>
            </w:r>
          </w:p>
        </w:tc>
        <w:tc>
          <w:tcPr>
            <w:tcW w:w="480" w:type="dxa"/>
            <w:vAlign w:val="bottom"/>
            <w:gridSpan w:val="3"/>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8.</w:t>
            </w:r>
          </w:p>
        </w:tc>
        <w:tc>
          <w:tcPr>
            <w:tcW w:w="680" w:type="dxa"/>
            <w:vAlign w:val="bottom"/>
          </w:tcPr>
          <w:p>
            <w:pPr>
              <w:spacing w:after="0"/>
              <w:rPr>
                <w:sz w:val="15"/>
                <w:szCs w:val="15"/>
                <w:color w:val="auto"/>
              </w:rPr>
            </w:pPr>
          </w:p>
        </w:tc>
        <w:tc>
          <w:tcPr>
            <w:tcW w:w="5420" w:type="dxa"/>
            <w:vAlign w:val="bottom"/>
            <w:gridSpan w:val="11"/>
          </w:tcPr>
          <w:p>
            <w:pPr>
              <w:spacing w:after="0" w:line="181" w:lineRule="exact"/>
              <w:rPr>
                <w:sz w:val="20"/>
                <w:szCs w:val="20"/>
                <w:color w:val="auto"/>
              </w:rPr>
            </w:pPr>
            <w:r>
              <w:rPr>
                <w:rFonts w:ascii="Arial" w:cs="Arial" w:eastAsia="Arial" w:hAnsi="Arial"/>
                <w:sz w:val="16"/>
                <w:szCs w:val="16"/>
                <w:color w:val="0000FF"/>
              </w:rPr>
              <w:t>FINANCIAL STATEMENTS AND SUPPLEMENTARY DATA</w:t>
            </w:r>
          </w:p>
        </w:tc>
        <w:tc>
          <w:tcPr>
            <w:tcW w:w="3080" w:type="dxa"/>
            <w:vAlign w:val="bottom"/>
            <w:gridSpan w:val="6"/>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9.</w:t>
            </w:r>
          </w:p>
        </w:tc>
        <w:tc>
          <w:tcPr>
            <w:tcW w:w="680" w:type="dxa"/>
            <w:vAlign w:val="bottom"/>
          </w:tcPr>
          <w:p>
            <w:pPr>
              <w:spacing w:after="0"/>
              <w:rPr>
                <w:sz w:val="15"/>
                <w:szCs w:val="15"/>
                <w:color w:val="auto"/>
              </w:rPr>
            </w:pPr>
          </w:p>
        </w:tc>
        <w:tc>
          <w:tcPr>
            <w:tcW w:w="8160" w:type="dxa"/>
            <w:vAlign w:val="bottom"/>
            <w:gridSpan w:val="15"/>
          </w:tcPr>
          <w:p>
            <w:pPr>
              <w:spacing w:after="0" w:line="181" w:lineRule="exact"/>
              <w:rPr>
                <w:sz w:val="20"/>
                <w:szCs w:val="20"/>
                <w:color w:val="auto"/>
              </w:rPr>
            </w:pPr>
            <w:r>
              <w:rPr>
                <w:rFonts w:ascii="Arial" w:cs="Arial" w:eastAsia="Arial" w:hAnsi="Arial"/>
                <w:sz w:val="16"/>
                <w:szCs w:val="16"/>
                <w:color w:val="0000FF"/>
                <w:w w:val="98"/>
              </w:rPr>
              <w:t>CHANGES IN AND DISAGREEMENTS WITH ACCOUNTANTS ON ACCOUNTING AND FINANCIAL DISCLOSURE</w:t>
            </w:r>
          </w:p>
        </w:tc>
        <w:tc>
          <w:tcPr>
            <w:tcW w:w="340" w:type="dxa"/>
            <w:vAlign w:val="bottom"/>
            <w:gridSpan w:val="2"/>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2"/>
          </w:tcPr>
          <w:p>
            <w:pPr>
              <w:spacing w:after="0" w:line="181" w:lineRule="exact"/>
              <w:rPr>
                <w:sz w:val="20"/>
                <w:szCs w:val="20"/>
                <w:color w:val="auto"/>
              </w:rPr>
            </w:pPr>
            <w:r>
              <w:rPr>
                <w:rFonts w:ascii="Arial" w:cs="Arial" w:eastAsia="Arial" w:hAnsi="Arial"/>
                <w:sz w:val="16"/>
                <w:szCs w:val="16"/>
                <w:color w:val="auto"/>
              </w:rPr>
              <w:t>9A.</w:t>
            </w:r>
          </w:p>
        </w:tc>
        <w:tc>
          <w:tcPr>
            <w:tcW w:w="2420" w:type="dxa"/>
            <w:vAlign w:val="bottom"/>
            <w:gridSpan w:val="6"/>
          </w:tcPr>
          <w:p>
            <w:pPr>
              <w:spacing w:after="0" w:line="181" w:lineRule="exact"/>
              <w:rPr>
                <w:sz w:val="20"/>
                <w:szCs w:val="20"/>
                <w:color w:val="auto"/>
              </w:rPr>
            </w:pPr>
            <w:r>
              <w:rPr>
                <w:rFonts w:ascii="Arial" w:cs="Arial" w:eastAsia="Arial" w:hAnsi="Arial"/>
                <w:sz w:val="16"/>
                <w:szCs w:val="16"/>
                <w:color w:val="0000FF"/>
                <w:w w:val="98"/>
              </w:rPr>
              <w:t>CONTROLS AND PROCEDURES</w:t>
            </w:r>
          </w:p>
        </w:tc>
        <w:tc>
          <w:tcPr>
            <w:tcW w:w="5740" w:type="dxa"/>
            <w:vAlign w:val="bottom"/>
            <w:gridSpan w:val="9"/>
          </w:tcPr>
          <w:p>
            <w:pPr>
              <w:spacing w:after="0"/>
              <w:rPr>
                <w:sz w:val="15"/>
                <w:szCs w:val="15"/>
                <w:color w:val="auto"/>
              </w:rPr>
            </w:pPr>
          </w:p>
        </w:tc>
        <w:tc>
          <w:tcPr>
            <w:tcW w:w="340" w:type="dxa"/>
            <w:vAlign w:val="bottom"/>
            <w:gridSpan w:val="2"/>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2"/>
          </w:tcPr>
          <w:p>
            <w:pPr>
              <w:spacing w:after="0" w:line="181" w:lineRule="exact"/>
              <w:rPr>
                <w:sz w:val="20"/>
                <w:szCs w:val="20"/>
                <w:color w:val="auto"/>
              </w:rPr>
            </w:pPr>
            <w:r>
              <w:rPr>
                <w:rFonts w:ascii="Arial" w:cs="Arial" w:eastAsia="Arial" w:hAnsi="Arial"/>
                <w:sz w:val="16"/>
                <w:szCs w:val="16"/>
                <w:color w:val="auto"/>
              </w:rPr>
              <w:t>9B.</w:t>
            </w:r>
          </w:p>
        </w:tc>
        <w:tc>
          <w:tcPr>
            <w:tcW w:w="2420" w:type="dxa"/>
            <w:vAlign w:val="bottom"/>
            <w:gridSpan w:val="6"/>
          </w:tcPr>
          <w:p>
            <w:pPr>
              <w:spacing w:after="0" w:line="181" w:lineRule="exact"/>
              <w:rPr>
                <w:sz w:val="20"/>
                <w:szCs w:val="20"/>
                <w:color w:val="auto"/>
              </w:rPr>
            </w:pPr>
            <w:r>
              <w:rPr>
                <w:rFonts w:ascii="Arial" w:cs="Arial" w:eastAsia="Arial" w:hAnsi="Arial"/>
                <w:sz w:val="16"/>
                <w:szCs w:val="16"/>
                <w:color w:val="0000FF"/>
              </w:rPr>
              <w:t>OTHER INFORMATION</w:t>
            </w:r>
          </w:p>
        </w:tc>
        <w:tc>
          <w:tcPr>
            <w:tcW w:w="6080" w:type="dxa"/>
            <w:vAlign w:val="bottom"/>
            <w:gridSpan w:val="11"/>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gridSpan w:val="2"/>
          </w:tcPr>
          <w:p>
            <w:pPr>
              <w:spacing w:after="0" w:line="181" w:lineRule="exact"/>
              <w:rPr>
                <w:sz w:val="20"/>
                <w:szCs w:val="20"/>
                <w:color w:val="auto"/>
              </w:rPr>
            </w:pPr>
            <w:r>
              <w:rPr>
                <w:rFonts w:ascii="Arial" w:cs="Arial" w:eastAsia="Arial" w:hAnsi="Arial"/>
                <w:sz w:val="16"/>
                <w:szCs w:val="16"/>
                <w:color w:val="auto"/>
              </w:rPr>
              <w:t>9C.</w:t>
            </w:r>
          </w:p>
        </w:tc>
        <w:tc>
          <w:tcPr>
            <w:tcW w:w="6400" w:type="dxa"/>
            <w:vAlign w:val="bottom"/>
            <w:gridSpan w:val="12"/>
          </w:tcPr>
          <w:p>
            <w:pPr>
              <w:spacing w:after="0" w:line="181" w:lineRule="exact"/>
              <w:rPr>
                <w:sz w:val="20"/>
                <w:szCs w:val="20"/>
                <w:color w:val="auto"/>
              </w:rPr>
            </w:pPr>
            <w:r>
              <w:rPr>
                <w:rFonts w:ascii="Arial" w:cs="Arial" w:eastAsia="Arial" w:hAnsi="Arial"/>
                <w:sz w:val="16"/>
                <w:szCs w:val="16"/>
                <w:color w:val="0000FF"/>
                <w:w w:val="98"/>
              </w:rPr>
              <w:t>DISCLOSURE REGARDING FOREIGN JURISDICTIONS THAT PREVENT INSPECTIONS</w:t>
            </w:r>
          </w:p>
        </w:tc>
        <w:tc>
          <w:tcPr>
            <w:tcW w:w="2100" w:type="dxa"/>
            <w:vAlign w:val="bottom"/>
            <w:gridSpan w:val="5"/>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0000FF"/>
              </w:rPr>
              <w:t>PART III</w:t>
            </w: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6"/>
                <w:szCs w:val="16"/>
                <w:color w:val="0000FF"/>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10.</w:t>
            </w:r>
          </w:p>
        </w:tc>
        <w:tc>
          <w:tcPr>
            <w:tcW w:w="680" w:type="dxa"/>
            <w:vAlign w:val="bottom"/>
          </w:tcPr>
          <w:p>
            <w:pPr>
              <w:spacing w:after="0"/>
              <w:rPr>
                <w:sz w:val="15"/>
                <w:szCs w:val="15"/>
                <w:color w:val="auto"/>
              </w:rPr>
            </w:pPr>
          </w:p>
        </w:tc>
        <w:tc>
          <w:tcPr>
            <w:tcW w:w="8500" w:type="dxa"/>
            <w:vAlign w:val="bottom"/>
            <w:gridSpan w:val="17"/>
          </w:tcPr>
          <w:p>
            <w:pPr>
              <w:spacing w:after="0" w:line="181" w:lineRule="exact"/>
              <w:rPr>
                <w:sz w:val="20"/>
                <w:szCs w:val="20"/>
                <w:color w:val="auto"/>
              </w:rPr>
            </w:pPr>
            <w:r>
              <w:rPr>
                <w:rFonts w:ascii="Arial" w:cs="Arial" w:eastAsia="Arial" w:hAnsi="Arial"/>
                <w:sz w:val="16"/>
                <w:szCs w:val="16"/>
                <w:color w:val="0000FF"/>
              </w:rPr>
              <w:t>DIRECTORS, EXECUTIVE OFFICERS AND CORPORATE GOVERNANCE</w:t>
            </w: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11.</w:t>
            </w:r>
          </w:p>
        </w:tc>
        <w:tc>
          <w:tcPr>
            <w:tcW w:w="680" w:type="dxa"/>
            <w:vAlign w:val="bottom"/>
          </w:tcPr>
          <w:p>
            <w:pPr>
              <w:spacing w:after="0"/>
              <w:rPr>
                <w:sz w:val="15"/>
                <w:szCs w:val="15"/>
                <w:color w:val="auto"/>
              </w:rPr>
            </w:pPr>
          </w:p>
        </w:tc>
        <w:tc>
          <w:tcPr>
            <w:tcW w:w="5320" w:type="dxa"/>
            <w:vAlign w:val="bottom"/>
            <w:gridSpan w:val="10"/>
          </w:tcPr>
          <w:p>
            <w:pPr>
              <w:spacing w:after="0" w:line="181" w:lineRule="exact"/>
              <w:rPr>
                <w:sz w:val="20"/>
                <w:szCs w:val="20"/>
                <w:color w:val="auto"/>
              </w:rPr>
            </w:pPr>
            <w:r>
              <w:rPr>
                <w:rFonts w:ascii="Arial" w:cs="Arial" w:eastAsia="Arial" w:hAnsi="Arial"/>
                <w:sz w:val="16"/>
                <w:szCs w:val="16"/>
                <w:color w:val="0000FF"/>
              </w:rPr>
              <w:t>EXECUTIVE COMPENSATION</w:t>
            </w:r>
          </w:p>
        </w:tc>
        <w:tc>
          <w:tcPr>
            <w:tcW w:w="3180" w:type="dxa"/>
            <w:vAlign w:val="bottom"/>
            <w:gridSpan w:val="7"/>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12.</w:t>
            </w:r>
          </w:p>
        </w:tc>
        <w:tc>
          <w:tcPr>
            <w:tcW w:w="680" w:type="dxa"/>
            <w:vAlign w:val="bottom"/>
          </w:tcPr>
          <w:p>
            <w:pPr>
              <w:spacing w:after="0"/>
              <w:rPr>
                <w:sz w:val="15"/>
                <w:szCs w:val="15"/>
                <w:color w:val="auto"/>
              </w:rPr>
            </w:pPr>
          </w:p>
        </w:tc>
        <w:tc>
          <w:tcPr>
            <w:tcW w:w="8500" w:type="dxa"/>
            <w:vAlign w:val="bottom"/>
            <w:gridSpan w:val="17"/>
          </w:tcPr>
          <w:p>
            <w:pPr>
              <w:spacing w:after="0" w:line="181" w:lineRule="exact"/>
              <w:rPr>
                <w:sz w:val="20"/>
                <w:szCs w:val="20"/>
                <w:color w:val="auto"/>
              </w:rPr>
            </w:pPr>
            <w:r>
              <w:rPr>
                <w:rFonts w:ascii="Arial" w:cs="Arial" w:eastAsia="Arial" w:hAnsi="Arial"/>
                <w:sz w:val="16"/>
                <w:szCs w:val="16"/>
                <w:color w:val="0000FF"/>
                <w:w w:val="98"/>
              </w:rPr>
              <w:t>SECURITY OWNERSHIP OF CERTAIN BENEFICIAL OWNERS AND MANAGEMENT AND RELATED STOCKHOLDER</w:t>
            </w: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60" w:type="dxa"/>
            <w:vAlign w:val="bottom"/>
            <w:tcBorders>
              <w:top w:val="single" w:sz="8" w:color="0000FF"/>
            </w:tcBorders>
            <w:gridSpan w:val="16"/>
          </w:tcPr>
          <w:p>
            <w:pPr>
              <w:spacing w:after="0" w:line="146" w:lineRule="exact"/>
              <w:rPr>
                <w:sz w:val="20"/>
                <w:szCs w:val="20"/>
                <w:color w:val="auto"/>
              </w:rPr>
            </w:pPr>
            <w:r>
              <w:rPr>
                <w:rFonts w:ascii="Arial" w:cs="Arial" w:eastAsia="Arial" w:hAnsi="Arial"/>
                <w:sz w:val="16"/>
                <w:szCs w:val="16"/>
                <w:color w:val="0000FF"/>
              </w:rPr>
              <w:t>MATTERS</w:t>
            </w: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13.</w:t>
            </w:r>
          </w:p>
        </w:tc>
        <w:tc>
          <w:tcPr>
            <w:tcW w:w="680" w:type="dxa"/>
            <w:vAlign w:val="bottom"/>
          </w:tcPr>
          <w:p>
            <w:pPr>
              <w:spacing w:after="0"/>
              <w:rPr>
                <w:sz w:val="15"/>
                <w:szCs w:val="15"/>
                <w:color w:val="auto"/>
              </w:rPr>
            </w:pPr>
          </w:p>
        </w:tc>
        <w:tc>
          <w:tcPr>
            <w:tcW w:w="6980" w:type="dxa"/>
            <w:vAlign w:val="bottom"/>
            <w:gridSpan w:val="13"/>
          </w:tcPr>
          <w:p>
            <w:pPr>
              <w:spacing w:after="0" w:line="181" w:lineRule="exact"/>
              <w:rPr>
                <w:sz w:val="20"/>
                <w:szCs w:val="20"/>
                <w:color w:val="auto"/>
              </w:rPr>
            </w:pPr>
            <w:r>
              <w:rPr>
                <w:rFonts w:ascii="Arial" w:cs="Arial" w:eastAsia="Arial" w:hAnsi="Arial"/>
                <w:sz w:val="16"/>
                <w:szCs w:val="16"/>
                <w:color w:val="0000FF"/>
                <w:w w:val="97"/>
              </w:rPr>
              <w:t>CERTAIN RELATIONSHIPS AND RELATED TRANSACTIONS, AND DIRECTOR INDEPENDENCE</w:t>
            </w:r>
          </w:p>
        </w:tc>
        <w:tc>
          <w:tcPr>
            <w:tcW w:w="1520" w:type="dxa"/>
            <w:vAlign w:val="bottom"/>
            <w:gridSpan w:val="4"/>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14.</w:t>
            </w:r>
          </w:p>
        </w:tc>
        <w:tc>
          <w:tcPr>
            <w:tcW w:w="680" w:type="dxa"/>
            <w:vAlign w:val="bottom"/>
          </w:tcPr>
          <w:p>
            <w:pPr>
              <w:spacing w:after="0"/>
              <w:rPr>
                <w:sz w:val="15"/>
                <w:szCs w:val="15"/>
                <w:color w:val="auto"/>
              </w:rPr>
            </w:pPr>
          </w:p>
        </w:tc>
        <w:tc>
          <w:tcPr>
            <w:tcW w:w="6980" w:type="dxa"/>
            <w:vAlign w:val="bottom"/>
            <w:gridSpan w:val="13"/>
          </w:tcPr>
          <w:p>
            <w:pPr>
              <w:spacing w:after="0" w:line="181" w:lineRule="exact"/>
              <w:rPr>
                <w:sz w:val="20"/>
                <w:szCs w:val="20"/>
                <w:color w:val="auto"/>
              </w:rPr>
            </w:pPr>
            <w:r>
              <w:rPr>
                <w:rFonts w:ascii="Arial" w:cs="Arial" w:eastAsia="Arial" w:hAnsi="Arial"/>
                <w:sz w:val="16"/>
                <w:szCs w:val="16"/>
                <w:color w:val="0000FF"/>
              </w:rPr>
              <w:t>PRINCIPAL ACCOUNTANT FEES AND SERVICES</w:t>
            </w:r>
          </w:p>
        </w:tc>
        <w:tc>
          <w:tcPr>
            <w:tcW w:w="1520" w:type="dxa"/>
            <w:vAlign w:val="bottom"/>
            <w:gridSpan w:val="4"/>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0000FF"/>
              </w:rPr>
              <w:t>PART IV</w:t>
            </w: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6"/>
                <w:szCs w:val="16"/>
                <w:color w:val="0000FF"/>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15.</w:t>
            </w:r>
          </w:p>
        </w:tc>
        <w:tc>
          <w:tcPr>
            <w:tcW w:w="680" w:type="dxa"/>
            <w:vAlign w:val="bottom"/>
          </w:tcPr>
          <w:p>
            <w:pPr>
              <w:spacing w:after="0"/>
              <w:rPr>
                <w:sz w:val="15"/>
                <w:szCs w:val="15"/>
                <w:color w:val="auto"/>
              </w:rPr>
            </w:pPr>
          </w:p>
        </w:tc>
        <w:tc>
          <w:tcPr>
            <w:tcW w:w="3960" w:type="dxa"/>
            <w:vAlign w:val="bottom"/>
            <w:gridSpan w:val="8"/>
          </w:tcPr>
          <w:p>
            <w:pPr>
              <w:spacing w:after="0" w:line="181" w:lineRule="exact"/>
              <w:rPr>
                <w:sz w:val="20"/>
                <w:szCs w:val="20"/>
                <w:color w:val="auto"/>
              </w:rPr>
            </w:pPr>
            <w:r>
              <w:rPr>
                <w:rFonts w:ascii="Arial" w:cs="Arial" w:eastAsia="Arial" w:hAnsi="Arial"/>
                <w:sz w:val="16"/>
                <w:szCs w:val="16"/>
                <w:color w:val="0000FF"/>
                <w:w w:val="97"/>
              </w:rPr>
              <w:t>EXHIBITS AND FINANCIAL STATEMENT SCHEDULES</w:t>
            </w:r>
          </w:p>
        </w:tc>
        <w:tc>
          <w:tcPr>
            <w:tcW w:w="4540" w:type="dxa"/>
            <w:vAlign w:val="bottom"/>
            <w:gridSpan w:val="9"/>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182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16.</w:t>
            </w:r>
          </w:p>
        </w:tc>
        <w:tc>
          <w:tcPr>
            <w:tcW w:w="680" w:type="dxa"/>
            <w:vAlign w:val="bottom"/>
          </w:tcPr>
          <w:p>
            <w:pPr>
              <w:spacing w:after="0"/>
              <w:rPr>
                <w:sz w:val="15"/>
                <w:szCs w:val="15"/>
                <w:color w:val="auto"/>
              </w:rPr>
            </w:pPr>
          </w:p>
        </w:tc>
        <w:tc>
          <w:tcPr>
            <w:tcW w:w="3960" w:type="dxa"/>
            <w:vAlign w:val="bottom"/>
            <w:gridSpan w:val="8"/>
          </w:tcPr>
          <w:p>
            <w:pPr>
              <w:spacing w:after="0" w:line="181" w:lineRule="exact"/>
              <w:rPr>
                <w:sz w:val="20"/>
                <w:szCs w:val="20"/>
                <w:color w:val="auto"/>
              </w:rPr>
            </w:pPr>
            <w:r>
              <w:rPr>
                <w:rFonts w:ascii="Arial" w:cs="Arial" w:eastAsia="Arial" w:hAnsi="Arial"/>
                <w:sz w:val="16"/>
                <w:szCs w:val="16"/>
                <w:color w:val="0000FF"/>
              </w:rPr>
              <w:t>FORM 10-K SUMMARY</w:t>
            </w:r>
          </w:p>
        </w:tc>
        <w:tc>
          <w:tcPr>
            <w:tcW w:w="4540" w:type="dxa"/>
            <w:vAlign w:val="bottom"/>
            <w:gridSpan w:val="9"/>
          </w:tcPr>
          <w:p>
            <w:pPr>
              <w:spacing w:after="0"/>
              <w:rPr>
                <w:sz w:val="15"/>
                <w:szCs w:val="15"/>
                <w:color w:val="auto"/>
              </w:rPr>
            </w:pPr>
          </w:p>
        </w:tc>
        <w:tc>
          <w:tcPr>
            <w:tcW w:w="148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0000FF"/>
              </w:rPr>
              <w:t>196</w:t>
            </w:r>
          </w:p>
        </w:tc>
        <w:tc>
          <w:tcPr>
            <w:tcW w:w="0" w:type="dxa"/>
            <w:vAlign w:val="bottom"/>
          </w:tcPr>
          <w:p>
            <w:pPr>
              <w:spacing w:after="0"/>
              <w:rPr>
                <w:sz w:val="1"/>
                <w:szCs w:val="1"/>
                <w:color w:val="auto"/>
              </w:rPr>
            </w:pPr>
          </w:p>
        </w:tc>
      </w:tr>
      <w:tr>
        <w:trPr>
          <w:trHeight w:val="108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09" w:lineRule="exact"/>
        <w:rPr>
          <w:sz w:val="20"/>
          <w:szCs w:val="20"/>
          <w:color w:val="auto"/>
        </w:rPr>
      </w:pPr>
    </w:p>
    <w:p>
      <w:pPr>
        <w:ind w:right="40" w:firstLine="356"/>
        <w:spacing w:after="0" w:line="286" w:lineRule="auto"/>
        <w:rPr>
          <w:sz w:val="20"/>
          <w:szCs w:val="20"/>
          <w:color w:val="auto"/>
        </w:rPr>
      </w:pPr>
      <w:r>
        <w:rPr>
          <w:rFonts w:ascii="Arial" w:cs="Arial" w:eastAsia="Arial" w:hAnsi="Arial"/>
          <w:sz w:val="15"/>
          <w:szCs w:val="15"/>
          <w:color w:val="auto"/>
        </w:rPr>
        <w:t>The risk factors detailed in Item 1A titled “Risk Factors” in this Annual Report on Form 10-K are the risks that we believe are material to our investors and a reader should carefully consider them. Those risks are not all of the risks we face and other factors not presently known to us or that we currently believe are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immaterial may also affect our business if they occur. The following is a summary of the risk factors detailed in Item 1A:</w:t>
      </w:r>
    </w:p>
    <w:p>
      <w:pPr>
        <w:spacing w:after="0" w:line="160" w:lineRule="exact"/>
        <w:rPr>
          <w:sz w:val="20"/>
          <w:szCs w:val="20"/>
          <w:color w:val="auto"/>
        </w:rPr>
      </w:pPr>
    </w:p>
    <w:p>
      <w:pPr>
        <w:ind w:left="700" w:right="160" w:hanging="279"/>
        <w:spacing w:after="0" w:line="239"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performance depends upon the economic conditions, particularly the supply and demand characteristics, of our markets—Boston, Los Angeles, New York, San Francisco, Seattle and Washington, DC.</w:t>
      </w:r>
    </w:p>
    <w:p>
      <w:pPr>
        <w:spacing w:after="0" w:line="143" w:lineRule="exact"/>
        <w:rPr>
          <w:rFonts w:ascii="Arial" w:cs="Arial" w:eastAsia="Arial" w:hAnsi="Arial"/>
          <w:sz w:val="17"/>
          <w:szCs w:val="17"/>
          <w:color w:val="auto"/>
        </w:rPr>
      </w:pPr>
    </w:p>
    <w:p>
      <w:pPr>
        <w:ind w:left="700" w:hanging="279"/>
        <w:spacing w:after="0" w:line="254"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Enhanced market and economic volatility due to adverse economic and geopolitical conditions, health crises or dislocations in the credit markets could have a material adverse effect on our results of operations, financial condition and ability to pay dividends and/or distributions.</w:t>
      </w:r>
    </w:p>
    <w:p>
      <w:pPr>
        <w:spacing w:after="0" w:line="119" w:lineRule="exact"/>
        <w:rPr>
          <w:rFonts w:ascii="Arial" w:cs="Arial" w:eastAsia="Arial" w:hAnsi="Arial"/>
          <w:sz w:val="17"/>
          <w:szCs w:val="17"/>
          <w:color w:val="auto"/>
        </w:rPr>
      </w:pPr>
    </w:p>
    <w:p>
      <w:pPr>
        <w:ind w:left="700" w:right="280" w:hanging="279"/>
        <w:spacing w:after="0" w:line="254"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The outbreak of highly infectious or contagious diseases, such as COVID-19, could adversely impact or cause disruption to our financial condition, results of operations, cash flows and liquidity and those of our clients.</w:t>
      </w:r>
    </w:p>
    <w:p>
      <w:pPr>
        <w:spacing w:after="0" w:line="125"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success depends on key personnel whose continued service is not guaranteed.</w:t>
      </w:r>
    </w:p>
    <w:p>
      <w:pPr>
        <w:spacing w:after="0" w:line="136"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performance and value are subject to risks associated with our real estate assets and with the real estate industry, including, without limitation:</w:t>
      </w:r>
    </w:p>
    <w:p>
      <w:pPr>
        <w:spacing w:after="0" w:line="88" w:lineRule="exact"/>
        <w:rPr>
          <w:rFonts w:ascii="Arial" w:cs="Arial" w:eastAsia="Arial" w:hAnsi="Arial"/>
          <w:sz w:val="17"/>
          <w:szCs w:val="17"/>
          <w:color w:val="auto"/>
        </w:rPr>
      </w:pPr>
    </w:p>
    <w:p>
      <w:pPr>
        <w:ind w:left="1120" w:hanging="272"/>
        <w:spacing w:after="0"/>
        <w:tabs>
          <w:tab w:leader="none" w:pos="112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difficulties or delays renewing leases or re-leasing space;</w:t>
      </w:r>
    </w:p>
    <w:p>
      <w:pPr>
        <w:spacing w:after="0" w:line="88" w:lineRule="exact"/>
        <w:rPr>
          <w:rFonts w:ascii="Arial" w:cs="Arial" w:eastAsia="Arial" w:hAnsi="Arial"/>
          <w:sz w:val="17"/>
          <w:szCs w:val="17"/>
          <w:color w:val="auto"/>
        </w:rPr>
      </w:pPr>
    </w:p>
    <w:p>
      <w:pPr>
        <w:ind w:left="1120" w:hanging="272"/>
        <w:spacing w:after="0"/>
        <w:tabs>
          <w:tab w:leader="none" w:pos="112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adverse effects from major clients’ bankruptcies or insolvencies;</w:t>
      </w:r>
    </w:p>
    <w:p>
      <w:pPr>
        <w:spacing w:after="0" w:line="107" w:lineRule="exact"/>
        <w:rPr>
          <w:rFonts w:ascii="Arial" w:cs="Arial" w:eastAsia="Arial" w:hAnsi="Arial"/>
          <w:sz w:val="17"/>
          <w:szCs w:val="17"/>
          <w:color w:val="auto"/>
        </w:rPr>
      </w:pPr>
    </w:p>
    <w:p>
      <w:pPr>
        <w:ind w:left="1140" w:right="40" w:hanging="292"/>
        <w:spacing w:after="0" w:line="243" w:lineRule="auto"/>
        <w:tabs>
          <w:tab w:leader="none" w:pos="113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sustained changes in client preferences and space utilization from full-time, collective in-person work environments to hybrid or remote work models, which could decrease overall demand for workplaces and cause market rental rates and property values to be negatively impacted;</w:t>
      </w:r>
    </w:p>
    <w:p>
      <w:pPr>
        <w:spacing w:after="0" w:line="81" w:lineRule="exact"/>
        <w:rPr>
          <w:rFonts w:ascii="Arial" w:cs="Arial" w:eastAsia="Arial" w:hAnsi="Arial"/>
          <w:sz w:val="17"/>
          <w:szCs w:val="17"/>
          <w:color w:val="auto"/>
        </w:rPr>
      </w:pPr>
    </w:p>
    <w:p>
      <w:pPr>
        <w:ind w:left="1120" w:hanging="272"/>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potential delays in completion of development and redevelopment projects due to supply chain disruptions and labor shortages; and</w:t>
      </w:r>
    </w:p>
    <w:p>
      <w:pPr>
        <w:spacing w:after="0" w:line="93" w:lineRule="exact"/>
        <w:rPr>
          <w:rFonts w:ascii="Arial" w:cs="Arial" w:eastAsia="Arial" w:hAnsi="Arial"/>
          <w:sz w:val="16"/>
          <w:szCs w:val="16"/>
          <w:color w:val="auto"/>
        </w:rPr>
      </w:pPr>
    </w:p>
    <w:p>
      <w:pPr>
        <w:ind w:left="1120" w:hanging="272"/>
        <w:spacing w:after="0"/>
        <w:tabs>
          <w:tab w:leader="none" w:pos="112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increases in costs to maintain, renovate and develop our properties related to inflation.</w:t>
      </w:r>
    </w:p>
    <w:p>
      <w:pPr>
        <w:spacing w:after="0" w:line="136"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actual costs to develop properties may exceed our budgeted costs.</w:t>
      </w:r>
    </w:p>
    <w:p>
      <w:pPr>
        <w:spacing w:after="0" w:line="142" w:lineRule="exact"/>
        <w:rPr>
          <w:rFonts w:ascii="Arial" w:cs="Arial" w:eastAsia="Arial" w:hAnsi="Arial"/>
          <w:sz w:val="17"/>
          <w:szCs w:val="17"/>
          <w:color w:val="auto"/>
        </w:rPr>
      </w:pPr>
    </w:p>
    <w:p>
      <w:pPr>
        <w:ind w:left="700" w:right="660" w:hanging="279"/>
        <w:spacing w:after="0" w:line="254"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use of joint ventures and participation in the Strategic Capital Program (“SCP”) may limit our control over and flexibility with jointly owned investments and other assets we may wish to acquire.</w:t>
      </w:r>
    </w:p>
    <w:p>
      <w:pPr>
        <w:spacing w:after="0" w:line="113"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the use of debt to fund acquisitions and developments, including refinancing risk.</w:t>
      </w:r>
    </w:p>
    <w:p>
      <w:pPr>
        <w:spacing w:after="0" w:line="154" w:lineRule="exact"/>
        <w:rPr>
          <w:rFonts w:ascii="Arial" w:cs="Arial" w:eastAsia="Arial" w:hAnsi="Arial"/>
          <w:sz w:val="17"/>
          <w:szCs w:val="17"/>
          <w:color w:val="auto"/>
        </w:rPr>
      </w:pPr>
    </w:p>
    <w:p>
      <w:pPr>
        <w:ind w:left="700" w:right="140" w:hanging="279"/>
        <w:spacing w:after="0" w:line="239"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Increases in interest rates would increase our interest costs on variable rate debt and could adversely impact our ability to re-finance existing debt or sell assets on favorable terms or at all.</w:t>
      </w:r>
    </w:p>
    <w:p>
      <w:pPr>
        <w:spacing w:after="0" w:line="137"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Covenants in our debt agreements could adversely affect our financial condition.</w:t>
      </w:r>
    </w:p>
    <w:p>
      <w:pPr>
        <w:spacing w:after="0" w:line="136"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degree of leverage could limit our ability to obtain additional financing or affect the market price of our equity and debt securities.</w:t>
      </w:r>
    </w:p>
    <w:p>
      <w:pPr>
        <w:spacing w:after="0" w:line="142" w:lineRule="exact"/>
        <w:rPr>
          <w:rFonts w:ascii="Arial" w:cs="Arial" w:eastAsia="Arial" w:hAnsi="Arial"/>
          <w:sz w:val="17"/>
          <w:szCs w:val="17"/>
          <w:color w:val="auto"/>
        </w:rPr>
      </w:pPr>
    </w:p>
    <w:p>
      <w:pPr>
        <w:ind w:left="700" w:right="260" w:hanging="279"/>
        <w:spacing w:after="0" w:line="254"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climate change and severe weather events, as well as the regulatory efforts intended to reduce the effects of climate change.</w:t>
      </w:r>
    </w:p>
    <w:p>
      <w:pPr>
        <w:spacing w:after="0" w:line="125"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Potential liability for environmental contamination could result in substantial costs.</w:t>
      </w:r>
    </w:p>
    <w:p>
      <w:pPr>
        <w:spacing w:after="0" w:line="136" w:lineRule="exact"/>
        <w:rPr>
          <w:rFonts w:ascii="Arial" w:cs="Arial" w:eastAsia="Arial" w:hAnsi="Arial"/>
          <w:sz w:val="17"/>
          <w:szCs w:val="17"/>
          <w:color w:val="auto"/>
        </w:rPr>
      </w:pPr>
    </w:p>
    <w:p>
      <w:pPr>
        <w:ind w:left="700" w:hanging="279"/>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6"/>
          <w:szCs w:val="16"/>
          <w:color w:val="auto"/>
        </w:rPr>
        <w:t>Some potential losses are not covered by insurance.</w:t>
      </w:r>
    </w:p>
    <w:p>
      <w:pPr>
        <w:spacing w:after="0" w:line="142" w:lineRule="exact"/>
        <w:rPr>
          <w:rFonts w:ascii="Arial" w:cs="Arial" w:eastAsia="Arial" w:hAnsi="Arial"/>
          <w:sz w:val="17"/>
          <w:szCs w:val="17"/>
          <w:color w:val="auto"/>
        </w:rPr>
      </w:pPr>
    </w:p>
    <w:p>
      <w:pPr>
        <w:ind w:left="700" w:right="300" w:hanging="279"/>
        <w:spacing w:after="0" w:line="254"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security breaches through cyber attacks, cyber intrusions or otherwise, as well as other significant disruptions of our information technology (IT) networks and related systems.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0" w:right="160" w:hanging="279"/>
        <w:spacing w:after="0" w:line="253" w:lineRule="auto"/>
        <w:tabs>
          <w:tab w:leader="none" w:pos="696"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Our involvement in legal proceedings and other claims may result in substantial monetary and other costs that have a material adverse effect on our results of operations.</w:t>
      </w:r>
    </w:p>
    <w:p>
      <w:pPr>
        <w:spacing w:after="0" w:line="115" w:lineRule="exact"/>
        <w:rPr>
          <w:rFonts w:ascii="Arial" w:cs="Arial" w:eastAsia="Arial" w:hAnsi="Arial"/>
          <w:sz w:val="16"/>
          <w:szCs w:val="16"/>
          <w:b w:val="1"/>
          <w:bCs w:val="1"/>
          <w:i w:val="1"/>
          <w:iCs w:val="1"/>
          <w:color w:val="auto"/>
        </w:rPr>
      </w:pPr>
    </w:p>
    <w:p>
      <w:pPr>
        <w:ind w:left="700" w:hanging="279"/>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6"/>
          <w:szCs w:val="16"/>
          <w:color w:val="auto"/>
        </w:rPr>
        <w:t>We face risks associated with BXP’s status as a real estate investment trust (REIT), including, without limitation:</w:t>
      </w:r>
    </w:p>
    <w:p>
      <w:pPr>
        <w:spacing w:after="0" w:line="107" w:lineRule="exact"/>
        <w:rPr>
          <w:rFonts w:ascii="Arial" w:cs="Arial" w:eastAsia="Arial" w:hAnsi="Arial"/>
          <w:sz w:val="17"/>
          <w:szCs w:val="17"/>
          <w:color w:val="auto"/>
        </w:rPr>
      </w:pPr>
    </w:p>
    <w:p>
      <w:pPr>
        <w:ind w:left="1140" w:right="380" w:hanging="292"/>
        <w:spacing w:after="0" w:line="239" w:lineRule="auto"/>
        <w:tabs>
          <w:tab w:leader="none" w:pos="1130" w:val="left"/>
        </w:tabs>
        <w:numPr>
          <w:ilvl w:val="1"/>
          <w:numId w:val="7"/>
        </w:numPr>
        <w:rPr>
          <w:rFonts w:ascii="Arial" w:cs="Arial" w:eastAsia="Arial" w:hAnsi="Arial"/>
          <w:sz w:val="17"/>
          <w:szCs w:val="17"/>
          <w:color w:val="auto"/>
        </w:rPr>
      </w:pPr>
      <w:r>
        <w:rPr>
          <w:rFonts w:ascii="Arial" w:cs="Arial" w:eastAsia="Arial" w:hAnsi="Arial"/>
          <w:sz w:val="16"/>
          <w:szCs w:val="16"/>
          <w:color w:val="auto"/>
        </w:rPr>
        <w:t>failure to qualify as a REIT would cause BXP to be taxed as a corporation, which would substantially reduce funds available for payment of dividends;</w:t>
      </w:r>
    </w:p>
    <w:p>
      <w:pPr>
        <w:spacing w:after="0" w:line="96" w:lineRule="exact"/>
        <w:rPr>
          <w:rFonts w:ascii="Arial" w:cs="Arial" w:eastAsia="Arial" w:hAnsi="Arial"/>
          <w:sz w:val="17"/>
          <w:szCs w:val="17"/>
          <w:color w:val="auto"/>
        </w:rPr>
      </w:pPr>
    </w:p>
    <w:p>
      <w:pPr>
        <w:ind w:left="1140" w:hanging="292"/>
        <w:spacing w:after="0" w:line="243" w:lineRule="auto"/>
        <w:tabs>
          <w:tab w:leader="none" w:pos="1130" w:val="left"/>
        </w:tabs>
        <w:numPr>
          <w:ilvl w:val="1"/>
          <w:numId w:val="7"/>
        </w:numPr>
        <w:rPr>
          <w:rFonts w:ascii="Arial" w:cs="Arial" w:eastAsia="Arial" w:hAnsi="Arial"/>
          <w:sz w:val="17"/>
          <w:szCs w:val="17"/>
          <w:color w:val="auto"/>
        </w:rPr>
      </w:pPr>
      <w:r>
        <w:rPr>
          <w:rFonts w:ascii="Arial" w:cs="Arial" w:eastAsia="Arial" w:hAnsi="Arial"/>
          <w:sz w:val="16"/>
          <w:szCs w:val="16"/>
          <w:color w:val="auto"/>
        </w:rPr>
        <w:t>possible adverse state and local tax audits and changes in state and local tax laws could result in increased tax costs that could adversely affect our financial condition and results of operations and the amount of cash available for the payment of dividends and distributions to our securityholders; and</w:t>
      </w:r>
    </w:p>
    <w:p>
      <w:pPr>
        <w:spacing w:after="0" w:line="86" w:lineRule="exact"/>
        <w:rPr>
          <w:rFonts w:ascii="Arial" w:cs="Arial" w:eastAsia="Arial" w:hAnsi="Arial"/>
          <w:sz w:val="17"/>
          <w:szCs w:val="17"/>
          <w:color w:val="auto"/>
        </w:rPr>
      </w:pPr>
    </w:p>
    <w:p>
      <w:pPr>
        <w:ind w:left="1120" w:hanging="272"/>
        <w:spacing w:after="0"/>
        <w:tabs>
          <w:tab w:leader="none" w:pos="1120" w:val="left"/>
        </w:tabs>
        <w:numPr>
          <w:ilvl w:val="1"/>
          <w:numId w:val="7"/>
        </w:numPr>
        <w:rPr>
          <w:rFonts w:ascii="Arial" w:cs="Arial" w:eastAsia="Arial" w:hAnsi="Arial"/>
          <w:sz w:val="17"/>
          <w:szCs w:val="17"/>
          <w:color w:val="auto"/>
        </w:rPr>
      </w:pPr>
      <w:r>
        <w:rPr>
          <w:rFonts w:ascii="Arial" w:cs="Arial" w:eastAsia="Arial" w:hAnsi="Arial"/>
          <w:sz w:val="16"/>
          <w:szCs w:val="16"/>
          <w:color w:val="auto"/>
        </w:rPr>
        <w:t>in order to maintain BXP’s REIT status, we may be forced to borrow funds during unfavorable market conditions.</w:t>
      </w:r>
    </w:p>
    <w:p>
      <w:pPr>
        <w:spacing w:after="0" w:line="160" w:lineRule="exact"/>
        <w:rPr>
          <w:rFonts w:ascii="Arial" w:cs="Arial" w:eastAsia="Arial" w:hAnsi="Arial"/>
          <w:sz w:val="17"/>
          <w:szCs w:val="17"/>
          <w:color w:val="auto"/>
        </w:rPr>
      </w:pPr>
    </w:p>
    <w:p>
      <w:pPr>
        <w:ind w:left="700" w:hanging="279"/>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6"/>
          <w:szCs w:val="16"/>
          <w:color w:val="auto"/>
        </w:rPr>
        <w:t>Changes in accounting pronouncements could adversely affect our operating results, in addition to the reported financial performance of our clients.</w:t>
      </w:r>
    </w:p>
    <w:p>
      <w:pPr>
        <w:spacing w:after="0" w:line="143" w:lineRule="exact"/>
        <w:rPr>
          <w:sz w:val="20"/>
          <w:szCs w:val="20"/>
          <w:color w:val="auto"/>
        </w:rPr>
      </w:pPr>
    </w:p>
    <w:p>
      <w:pPr>
        <w:ind w:right="280" w:firstLine="356"/>
        <w:spacing w:after="0" w:line="253" w:lineRule="auto"/>
        <w:rPr>
          <w:sz w:val="20"/>
          <w:szCs w:val="20"/>
          <w:color w:val="auto"/>
        </w:rPr>
      </w:pPr>
      <w:r>
        <w:rPr>
          <w:rFonts w:ascii="Arial" w:cs="Arial" w:eastAsia="Arial" w:hAnsi="Arial"/>
          <w:sz w:val="16"/>
          <w:szCs w:val="16"/>
          <w:color w:val="auto"/>
        </w:rPr>
        <w:t>This section contains forward-looking statements. You should refer to the explanation of the qualifications and limitations on forward-looking statements beginning on page 58.</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09"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BXP, a Delaware corporation, is a fully integrated, self-administered and self-managed REIT, and is one of the largest publicly-traded office REITs (based on total market capitalization as of December 31, 2022) in the United States that develops, owns and manages primarily premier workplaces. BXP was formed in 1997 to succeed the real estate development, redevelopment, acquisition, management, operating and leasing businesses associated with the predecessor company founded by Mortimer B. Zuckerman and Edward H. Linde in 1970.</w:t>
      </w:r>
    </w:p>
    <w:p>
      <w:pPr>
        <w:spacing w:after="0" w:line="137" w:lineRule="exact"/>
        <w:rPr>
          <w:sz w:val="20"/>
          <w:szCs w:val="20"/>
          <w:color w:val="auto"/>
        </w:rPr>
      </w:pPr>
    </w:p>
    <w:p>
      <w:pPr>
        <w:ind w:right="200" w:firstLine="391"/>
        <w:spacing w:after="0" w:line="249" w:lineRule="auto"/>
        <w:rPr>
          <w:sz w:val="20"/>
          <w:szCs w:val="20"/>
          <w:color w:val="auto"/>
        </w:rPr>
      </w:pPr>
      <w:r>
        <w:rPr>
          <w:rFonts w:ascii="Arial" w:cs="Arial" w:eastAsia="Arial" w:hAnsi="Arial"/>
          <w:sz w:val="16"/>
          <w:szCs w:val="16"/>
          <w:color w:val="auto"/>
        </w:rPr>
        <w:t>Our properties are concentrated in six dynamic gateway markets—Boston, Los Angeles, New York, San Francisco, Seattle and Washington, DC. At December 31, 2022, we owned or had joint venture interests in a portfolio of 194 commercial real estate properties, aggregating approximately 54.1 million net rentable square feet of primarily premier workplaces, including 13 properties under construction/redevelopment totaling approximately 3.2 million net rentable square feet. As of December 31, 2022, our properties consisted of:</w:t>
      </w:r>
    </w:p>
    <w:p>
      <w:pPr>
        <w:spacing w:after="0" w:line="137" w:lineRule="exact"/>
        <w:rPr>
          <w:sz w:val="20"/>
          <w:szCs w:val="20"/>
          <w:color w:val="auto"/>
        </w:rPr>
      </w:pPr>
    </w:p>
    <w:p>
      <w:pPr>
        <w:ind w:left="480" w:hanging="2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173 office and life sciences properties (including 10 properties under construction/redevelopment);</w:t>
      </w:r>
    </w:p>
    <w:p>
      <w:pPr>
        <w:spacing w:after="0" w:line="5" w:lineRule="exact"/>
        <w:rPr>
          <w:rFonts w:ascii="Arial" w:cs="Arial" w:eastAsia="Arial" w:hAnsi="Arial"/>
          <w:sz w:val="16"/>
          <w:szCs w:val="16"/>
          <w:color w:val="auto"/>
        </w:rPr>
      </w:pPr>
    </w:p>
    <w:p>
      <w:pPr>
        <w:ind w:left="480" w:hanging="2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14 retail properties (including two properties under construction/redevelopment);</w:t>
      </w:r>
    </w:p>
    <w:p>
      <w:pPr>
        <w:spacing w:after="0" w:line="5" w:lineRule="exact"/>
        <w:rPr>
          <w:rFonts w:ascii="Arial" w:cs="Arial" w:eastAsia="Arial" w:hAnsi="Arial"/>
          <w:sz w:val="16"/>
          <w:szCs w:val="16"/>
          <w:color w:val="auto"/>
        </w:rPr>
      </w:pPr>
    </w:p>
    <w:p>
      <w:pPr>
        <w:ind w:left="480" w:hanging="2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six residential properties (including one property under construction); and</w:t>
      </w:r>
    </w:p>
    <w:p>
      <w:pPr>
        <w:spacing w:after="0" w:line="5" w:lineRule="exact"/>
        <w:rPr>
          <w:rFonts w:ascii="Arial" w:cs="Arial" w:eastAsia="Arial" w:hAnsi="Arial"/>
          <w:sz w:val="16"/>
          <w:szCs w:val="16"/>
          <w:color w:val="auto"/>
        </w:rPr>
      </w:pPr>
    </w:p>
    <w:p>
      <w:pPr>
        <w:ind w:left="480" w:hanging="2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one hotel.</w:t>
      </w:r>
    </w:p>
    <w:p>
      <w:pPr>
        <w:spacing w:after="0" w:line="148"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We consider premier workplaces to be well-located buildings that are modern structures or have been modernized to compete with newer buildings and are professionally managed and maintained. As such, these properties attract creditworthy clients and command upper-tier rental rates. Our definition of premier workplaces may be different than those used by other companies.</w:t>
      </w:r>
    </w:p>
    <w:p>
      <w:pPr>
        <w:spacing w:after="0" w:line="136"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We are a full-service real estate company, with substantial in-house expertise and resources in acquisitions, development, financing, capital markets, construction management, property management, marketing, leasing, accounting, risk management, tax and legal services. For this reason, we refer to our tenants as “clients” due to the many facets of our continuous engagements with them, which span beyond the usual tenant/landlord relationship. Throughout this Annual Report, we use the terms “tenant” and “client” interchangeably.</w:t>
      </w:r>
    </w:p>
    <w:p>
      <w:pPr>
        <w:spacing w:after="0" w:line="137" w:lineRule="exact"/>
        <w:rPr>
          <w:sz w:val="20"/>
          <w:szCs w:val="20"/>
          <w:color w:val="auto"/>
        </w:rPr>
      </w:pPr>
    </w:p>
    <w:p>
      <w:pPr>
        <w:ind w:right="360" w:firstLine="391"/>
        <w:spacing w:after="0" w:line="249" w:lineRule="auto"/>
        <w:rPr>
          <w:sz w:val="20"/>
          <w:szCs w:val="20"/>
          <w:color w:val="auto"/>
        </w:rPr>
      </w:pPr>
      <w:r>
        <w:rPr>
          <w:rFonts w:ascii="Arial" w:cs="Arial" w:eastAsia="Arial" w:hAnsi="Arial"/>
          <w:sz w:val="16"/>
          <w:szCs w:val="16"/>
          <w:color w:val="auto"/>
        </w:rPr>
        <w:t>BXP manages BPLP as its sole general partner. Our principal executive office and Boston regional office are located at The Prudential Center, 800 Boylston Street, Suite 1900, Boston, Massachusetts 02199 and our telephone number is (617) 236-3300. In addition, we have regional offices at 2800 28th Street, Suite 170, Santa Monica, California 90405, 599 Lexington Avenue, New York, New York 10022, Four Embarcadero Center, San Francisco, California 94111, 1001 Fourth Avenue, Seattle, Washington 98154 and 2200 Pennsylvania Avenue NW, Washington, DC 20037.</w:t>
      </w:r>
    </w:p>
    <w:p>
      <w:pPr>
        <w:spacing w:after="0" w:line="13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Our internet address is http://www.bxp.com. On our website, you can obtain free copies of our Annual Reports on Form 10-K, quarterly reports on Form 10-Q, current reports on Form 8-K, including exhibits, and amendments to those reports filed or furnished pursuant to Section 13(a) or 15(d) of the Securities Exchange Act of 1934, as amended, as soon as reasonably practicable after we electronically file such material with, or furnish it to, the Securities and Exchange Commission, or the SEC. You may also obtain BXP’s and BPLP’s reports by accessing the EDGAR database at the SEC’s website at http://www.sec.gov, or we will furnish an electronic or paper copy of these reports free of charge upon written request to: Investor Relations, Boston Properties, Inc., Prudential Center, 800 Boylston Street, Suite 1900, Boston, Massachusetts 02199. “Boston Properties” is a registered trademark, BXP is a registered trademark, and the “bxp” logo is a registered trademark, in both cases, owned by BPLP.</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109"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BPLP is a Delaware limited partnership organized in 1997, and the entity through which BXP conducts substantially all of its business and owns, either directly or through subsidiaries, substantially all of its assets. BXP is the sole general partner of BPLP and, as of February 21, 2023, the owner of approximately 89.4% of the economic interests in BPLP. Economic interest was calculated as the number of common partnership units of BPLP owned by BXP as a percentage of the sum of (1) the actual aggregate number of outstanding common partnership units of BPLP and (2) the number of common units issuable upon conversion of all outstanding long term incentive plan units of BPLP (“LTIP Units”), for which all performance conditions have been satisfied for such conversion. We exclude from (1) and (2) above other LTIP Units issued in the form of Multi-Year Long-Term Incentive Plan Awards in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right="560"/>
        <w:spacing w:after="0" w:line="250" w:lineRule="auto"/>
        <w:rPr>
          <w:sz w:val="20"/>
          <w:szCs w:val="20"/>
          <w:color w:val="auto"/>
        </w:rPr>
      </w:pPr>
      <w:r>
        <w:rPr>
          <w:rFonts w:ascii="Arial" w:cs="Arial" w:eastAsia="Arial" w:hAnsi="Arial"/>
          <w:sz w:val="16"/>
          <w:szCs w:val="16"/>
          <w:color w:val="auto"/>
        </w:rPr>
        <w:t>2021 or later (“MYLTIP Awards”), which remain subject to performance conditions. An LTIP Unit is generally the economic equivalent of a share of BXP’s restricted common stock, although LTIP Units issued in the form of MYLTIP Awards are only entitled to receive one-tenth (1/10th) of the regular quarterly distributions (and no special distributions) prior to being earned.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During 2022</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Acquisitions</w:t>
      </w:r>
    </w:p>
    <w:p>
      <w:pPr>
        <w:spacing w:after="0" w:line="105" w:lineRule="exact"/>
        <w:rPr>
          <w:sz w:val="20"/>
          <w:szCs w:val="20"/>
          <w:color w:val="auto"/>
        </w:rPr>
      </w:pPr>
    </w:p>
    <w:p>
      <w:pPr>
        <w:ind w:right="680" w:firstLine="391"/>
        <w:spacing w:after="0" w:line="249" w:lineRule="auto"/>
        <w:rPr>
          <w:sz w:val="20"/>
          <w:szCs w:val="20"/>
          <w:color w:val="auto"/>
        </w:rPr>
      </w:pPr>
      <w:r>
        <w:rPr>
          <w:rFonts w:ascii="Arial" w:cs="Arial" w:eastAsia="Arial" w:hAnsi="Arial"/>
          <w:sz w:val="16"/>
          <w:szCs w:val="16"/>
          <w:color w:val="auto"/>
        </w:rPr>
        <w:t>On May 17, 2022, we completed the acquisition of Madison Centre in Seattle, Washington for a net purchase price, including transaction costs, of approximately $724.3 million. The acquisition was completed using the proceeds from BPLP’s $730.0 million unsecured term loan (See Note 7 to the Consolidated Financial Statements). Madison Centre is an approximately 755,000 net rentable square foot, 37-story, LEED-Platinum certified, premier workplace.</w:t>
      </w:r>
    </w:p>
    <w:p>
      <w:pPr>
        <w:spacing w:after="0" w:line="137"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On September 16, 2022, we acquired 125 Broadway in Cambridge, Massachusetts for a net purchase price, including transaction costs, of approximately $592.4 million. The acquisition was completed with available cash and borrowings under BPLP’s unsecured credit facility. 125 Broadway is a 271,000 net rentable square foot, six-story, laboratory/life sciences property.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Dispositions</w:t>
      </w:r>
    </w:p>
    <w:p>
      <w:pPr>
        <w:spacing w:after="0" w:line="93" w:lineRule="exact"/>
        <w:rPr>
          <w:sz w:val="20"/>
          <w:szCs w:val="20"/>
          <w:color w:val="auto"/>
        </w:rPr>
      </w:pPr>
    </w:p>
    <w:p>
      <w:pPr>
        <w:ind w:right="180" w:firstLine="391"/>
        <w:spacing w:after="0" w:line="253" w:lineRule="auto"/>
        <w:rPr>
          <w:sz w:val="20"/>
          <w:szCs w:val="20"/>
          <w:color w:val="auto"/>
        </w:rPr>
      </w:pPr>
      <w:r>
        <w:rPr>
          <w:rFonts w:ascii="Arial" w:cs="Arial" w:eastAsia="Arial" w:hAnsi="Arial"/>
          <w:sz w:val="16"/>
          <w:szCs w:val="16"/>
          <w:color w:val="auto"/>
        </w:rPr>
        <w:t>For information explaining why BXP and BPLP may report different gains on sales of real estate, see the Explanatory Note that follows the cover page of this Annual Report on Form 10-K.</w:t>
      </w:r>
    </w:p>
    <w:p>
      <w:pPr>
        <w:spacing w:after="0" w:line="134" w:lineRule="exact"/>
        <w:rPr>
          <w:sz w:val="20"/>
          <w:szCs w:val="20"/>
          <w:color w:val="auto"/>
        </w:rPr>
      </w:pPr>
    </w:p>
    <w:p>
      <w:pPr>
        <w:ind w:right="380" w:firstLine="391"/>
        <w:spacing w:after="0" w:line="250" w:lineRule="auto"/>
        <w:rPr>
          <w:sz w:val="20"/>
          <w:szCs w:val="20"/>
          <w:color w:val="auto"/>
        </w:rPr>
      </w:pPr>
      <w:r>
        <w:rPr>
          <w:rFonts w:ascii="Arial" w:cs="Arial" w:eastAsia="Arial" w:hAnsi="Arial"/>
          <w:sz w:val="16"/>
          <w:szCs w:val="16"/>
          <w:color w:val="auto"/>
        </w:rPr>
        <w:t>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office property.</w:t>
      </w:r>
    </w:p>
    <w:p>
      <w:pPr>
        <w:spacing w:after="0" w:line="136"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On April 19, 2021, we entered into an agreement to acquire 11251 Roger Bacon Drive in Reston, Virginia for an aggregate purchase price of approximately $5.6 million. On April 7, 2022, we executed an agreement to assign our right to acquire 11251 Roger Bacon Drive to a third party for an assignment fee of approximately $6.9 million. Net cash proceeds totaled approximately $6.6 million and are reflected as Other income - assignment fee in our Consolidated Statements of Operations. 11251 Roger Bacon Drive is an approximately 65,000 square foot office building situated on approximately 2.6 acres.</w:t>
      </w:r>
    </w:p>
    <w:p>
      <w:pPr>
        <w:spacing w:after="0" w:line="137"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On June 15, 2022, we completed the sale of our suburban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office/flex properties aggregating approximately 733,000 net rentable square feet.</w:t>
      </w:r>
    </w:p>
    <w:p>
      <w:pPr>
        <w:spacing w:after="0" w:line="137"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On August 30, 2022, we completed the sale of 601 Massachusetts Avenue located in Washington, DC for a gross sale price of $531.0 million. Net cash proceeds totaled approximately $512.3 million, resulting in a gain on sale of real estate of approximately $237.4 million for BXP and approximately $237.5 million for BPLP. 601 Massachusetts Avenue is an approximately 479,000 net rentable square foot premier workplace.</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September 15, 2022, we completed the sale of two parcels of land located in Loudoun County, Virginia for an aggregate gross sale price of</w:t>
      </w:r>
    </w:p>
    <w:p>
      <w:pPr>
        <w:spacing w:after="0" w:line="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$27.0 million. Net cash proceeds totaled approximately $25.6 million, resulting in a gain on sale of real estate totaling approximately $24.4 million for BXP and BPLP.</w:t>
      </w:r>
    </w:p>
    <w:p>
      <w:pPr>
        <w:spacing w:after="0" w:line="134" w:lineRule="exact"/>
        <w:rPr>
          <w:sz w:val="20"/>
          <w:szCs w:val="20"/>
          <w:color w:val="auto"/>
        </w:rPr>
      </w:pPr>
    </w:p>
    <w:p>
      <w:pPr>
        <w:ind w:right="160" w:firstLine="391"/>
        <w:spacing w:after="0" w:line="249" w:lineRule="auto"/>
        <w:rPr>
          <w:sz w:val="20"/>
          <w:szCs w:val="20"/>
          <w:color w:val="auto"/>
        </w:rPr>
      </w:pPr>
      <w:r>
        <w:rPr>
          <w:rFonts w:ascii="Arial" w:cs="Arial" w:eastAsia="Arial" w:hAnsi="Arial"/>
          <w:sz w:val="16"/>
          <w:szCs w:val="16"/>
          <w:color w:val="auto"/>
        </w:rPr>
        <w:t>On November 8, 2022, we completed the sale of the residential component of The Avant at Reston Town Center, located in Reston, Virginia, for a gross sale price of $141.0 million. Net cash proceeds totaled approximately $139.6 million, resulting in a gain on sale of real estate of approximately $55.6 million for BXP and BPLP. The Avant at Reston Town Center is a 15-story, 359-unit, luxury multifamily building consisting of approximately 329,000 net rentable square feet, excluding retail space. We retained ownership of the approximately 26,000 square foot ground-level retail space.</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Developments/Redevelopments</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 xml:space="preserve">As of December 31, 2022, we had 13 properties under construction/redevelopment, which we expect will total approximately 3.2 million net rentable square feet. We estimate our share of the total investment to complete these projects, in the aggregate, is approximately $1.9 billion, of which approximately $729.1 million remains to be invested as of December 31, 2022. The total development pipeline, inclusive of both office and laboratory/life sciences developments, but excluding View Boston at The Prudential Center and Reston Next Residential, is 37% pre-leased as of February 21, 2023. For a detailed list of the properties under construction/redevelopment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within </w:t>
      </w:r>
      <w:r>
        <w:rPr>
          <w:rFonts w:ascii="Arial" w:cs="Arial" w:eastAsia="Arial" w:hAnsi="Arial"/>
          <w:sz w:val="16"/>
          <w:szCs w:val="16"/>
          <w:i w:val="1"/>
          <w:iCs w:val="1"/>
          <w:color w:val="auto"/>
        </w:rPr>
        <w:t>“Item 7—Management’s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p>
    <w:p>
      <w:pPr>
        <w:spacing w:after="0" w:line="139" w:lineRule="exact"/>
        <w:rPr>
          <w:sz w:val="20"/>
          <w:szCs w:val="20"/>
          <w:color w:val="auto"/>
        </w:rPr>
      </w:pPr>
    </w:p>
    <w:p>
      <w:pPr>
        <w:ind w:right="260" w:firstLine="391"/>
        <w:spacing w:after="0" w:line="249" w:lineRule="auto"/>
        <w:rPr>
          <w:sz w:val="20"/>
          <w:szCs w:val="20"/>
          <w:color w:val="auto"/>
        </w:rPr>
      </w:pPr>
      <w:r>
        <w:rPr>
          <w:rFonts w:ascii="Arial" w:cs="Arial" w:eastAsia="Arial" w:hAnsi="Arial"/>
          <w:sz w:val="16"/>
          <w:szCs w:val="16"/>
          <w:color w:val="auto"/>
        </w:rPr>
        <w:t>On April 27, 2022, we entered into a 15-year lease agreement with AstraZeneca for approximately 566,000 net rentable square feet at our 290 Binney Street future development project. 290 Binney Street is part of the initial phase of a future life sciences development project located in the heart of Kendall Square in Cambridge, Massachusetts. The full project is expected to consist of two buildings aggregating approximately 1.1 million rentable square feet of life sciences space and an approximately 400,000 square foot residential building (See Note 16 to the Consolidated Financial Statements).</w:t>
      </w:r>
    </w:p>
    <w:p>
      <w:pPr>
        <w:spacing w:after="0" w:line="137"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On April 29, 2022, we partially placed in-service 2100 Pennsylvania Avenue, a premier workplace project with approximately 480,000 net rentable square feet located in Washington, DC.</w:t>
      </w:r>
    </w:p>
    <w:p>
      <w:pPr>
        <w:spacing w:after="0" w:line="134" w:lineRule="exact"/>
        <w:rPr>
          <w:sz w:val="20"/>
          <w:szCs w:val="20"/>
          <w:color w:val="auto"/>
        </w:rPr>
      </w:pPr>
    </w:p>
    <w:p>
      <w:pPr>
        <w:ind w:right="640" w:firstLine="391"/>
        <w:spacing w:after="0" w:line="253" w:lineRule="auto"/>
        <w:rPr>
          <w:sz w:val="20"/>
          <w:szCs w:val="20"/>
          <w:color w:val="auto"/>
        </w:rPr>
      </w:pPr>
      <w:r>
        <w:rPr>
          <w:rFonts w:ascii="Arial" w:cs="Arial" w:eastAsia="Arial" w:hAnsi="Arial"/>
          <w:sz w:val="16"/>
          <w:szCs w:val="16"/>
          <w:color w:val="auto"/>
        </w:rPr>
        <w:t>On May 13, 2022, we commenced the development of Reston Next Office Phase II, a premier workplace project located in Reston, Virginia. When completed, the building will consist of approximately 90,000 net rentable square feet.</w:t>
      </w:r>
    </w:p>
    <w:p>
      <w:pPr>
        <w:spacing w:after="0" w:line="134"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On June 29, 2022, we completed and fully placed in-service 325 Main Street, a premier workplace project with approximately 414,000 net rentable square feet located in Cambridge, Massachusetts.</w:t>
      </w:r>
    </w:p>
    <w:p>
      <w:pPr>
        <w:spacing w:after="0" w:line="134"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On July 1, 2022, we commenced the redevelopment of 140 Kendrick Street, a premier workplace that consists of three buildings aggregating approximately 388,000 net rentable square feet located in Needham, Massachusetts. The redevelopment is a repositioning of one building consisting of approximately 90,000 net rentable square feet into a net zero, carbon neutral premier workplace building, as defined by the LEED Zero Carbon Certification. When completed, the building will consist of approximately 104,000 net rentable square feet.</w:t>
      </w:r>
    </w:p>
    <w:p>
      <w:pPr>
        <w:spacing w:after="0" w:line="137" w:lineRule="exact"/>
        <w:rPr>
          <w:sz w:val="20"/>
          <w:szCs w:val="20"/>
          <w:color w:val="auto"/>
        </w:rPr>
      </w:pPr>
    </w:p>
    <w:p>
      <w:pPr>
        <w:ind w:right="60" w:firstLine="391"/>
        <w:spacing w:after="0" w:line="275" w:lineRule="auto"/>
        <w:rPr>
          <w:sz w:val="20"/>
          <w:szCs w:val="20"/>
          <w:color w:val="auto"/>
        </w:rPr>
      </w:pPr>
      <w:r>
        <w:rPr>
          <w:rFonts w:ascii="Arial" w:cs="Arial" w:eastAsia="Arial" w:hAnsi="Arial"/>
          <w:sz w:val="15"/>
          <w:szCs w:val="15"/>
          <w:color w:val="auto"/>
        </w:rPr>
        <w:t>On September 8, 2022, we terminated our existing lease agreement with our client at 300 Binney Street to facilitate the conversion and expansion of the property. 300 Binney Street is a premier workplace with approximately 195,000 net rentable square feet at Kendall Center in Cambridge, Massachusetts that will be redeveloped into approximately 240,000 net rentable square feet of laboratory/life sciences space (See Note 16 to the Consolidated Financial Statements).</w:t>
      </w:r>
    </w:p>
    <w:p>
      <w:pPr>
        <w:spacing w:after="0" w:line="118" w:lineRule="exact"/>
        <w:rPr>
          <w:sz w:val="20"/>
          <w:szCs w:val="20"/>
          <w:color w:val="auto"/>
        </w:rPr>
      </w:pPr>
    </w:p>
    <w:p>
      <w:pPr>
        <w:ind w:right="920" w:firstLine="391"/>
        <w:spacing w:after="0" w:line="253" w:lineRule="auto"/>
        <w:rPr>
          <w:sz w:val="20"/>
          <w:szCs w:val="20"/>
          <w:color w:val="auto"/>
        </w:rPr>
      </w:pPr>
      <w:r>
        <w:rPr>
          <w:rFonts w:ascii="Arial" w:cs="Arial" w:eastAsia="Arial" w:hAnsi="Arial"/>
          <w:sz w:val="16"/>
          <w:szCs w:val="16"/>
          <w:color w:val="auto"/>
        </w:rPr>
        <w:t>On September 12, 2022, we commenced the redevelopment of 760 Boylston Street, a retail project at the Prudential Center located in Boston, Massachusetts. The redevelopment is a modernization of the space consisting of approximately 118,000 net rentable square feet.</w:t>
      </w:r>
    </w:p>
    <w:p>
      <w:pPr>
        <w:spacing w:after="0" w:line="134"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On October 19, 2022, we completed and fully placed in-service Reston Next, a premier workplace project consisting of two buildings with an aggregate of approximately 1.1 million net rentable square feet, located in Reston, Virginia.</w:t>
      </w:r>
    </w:p>
    <w:p>
      <w:pPr>
        <w:spacing w:after="0" w:line="134" w:lineRule="exact"/>
        <w:rPr>
          <w:sz w:val="20"/>
          <w:szCs w:val="20"/>
          <w:color w:val="auto"/>
        </w:rPr>
      </w:pPr>
    </w:p>
    <w:p>
      <w:pPr>
        <w:ind w:right="80" w:firstLine="391"/>
        <w:spacing w:after="0" w:line="250" w:lineRule="auto"/>
        <w:rPr>
          <w:sz w:val="20"/>
          <w:szCs w:val="20"/>
          <w:color w:val="auto"/>
        </w:rPr>
      </w:pPr>
      <w:r>
        <w:rPr>
          <w:rFonts w:ascii="Arial" w:cs="Arial" w:eastAsia="Arial" w:hAnsi="Arial"/>
          <w:sz w:val="16"/>
          <w:szCs w:val="16"/>
          <w:color w:val="auto"/>
        </w:rPr>
        <w:t>On November 30, 2022, we commenced the redevelopment of 105 Carnegie Center, located in Princeton, New Jersey. The redevelopment is a repositioning of the property. 105 Carnegie Center consisted of approximately 70,000 net rentable square feet of office space. When completed, the building will consist of approximately 73,000 net rentable square feet of laboratory/life sciences space.</w:t>
      </w:r>
    </w:p>
    <w:p>
      <w:pPr>
        <w:spacing w:after="0" w:line="136"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On December 1, 2022, we removed 2096 Gaither Road from our in-service portfolio following the expiration of the last leases on November 30, 2022. 2096 Gaither Road consisted of approximately 50,000 net rentable square feet of office space in our Shady Grove Innovation District, located in Rockville, Maryland. We anticipate we will redevelop or convert 2096 Gaither Road to support lab or life sciences-related uses.</w:t>
      </w:r>
    </w:p>
    <w:p>
      <w:pPr>
        <w:spacing w:after="0" w:line="136" w:lineRule="exact"/>
        <w:rPr>
          <w:sz w:val="20"/>
          <w:szCs w:val="20"/>
          <w:color w:val="auto"/>
        </w:rPr>
      </w:pPr>
    </w:p>
    <w:p>
      <w:pPr>
        <w:ind w:right="380" w:firstLine="391"/>
        <w:spacing w:after="0" w:line="253" w:lineRule="auto"/>
        <w:rPr>
          <w:sz w:val="20"/>
          <w:szCs w:val="20"/>
          <w:color w:val="auto"/>
        </w:rPr>
      </w:pPr>
      <w:r>
        <w:rPr>
          <w:rFonts w:ascii="Arial" w:cs="Arial" w:eastAsia="Arial" w:hAnsi="Arial"/>
          <w:sz w:val="16"/>
          <w:szCs w:val="16"/>
          <w:color w:val="auto"/>
        </w:rPr>
        <w:t>On December 23, 2022, we completed and fully placed in-service 880 Winter Street, an approximately 244,000 net rentable square foot laboratory/life sciences project located in Waltham, Massachusetts.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Ground Lease</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July 29, 2020, we entered into a 99-year ground lease with a third-party hotel developer for land at our Reston Next property located in Reston Virginia, which will support the development of a 267-room, approximately 241,000 square foot hotel property. The lease commenced on October 21, 2020 and was subject to termination rights, which we were not reasonably certain would not be exercised. As such, we accounted for the ground lease as an operating lease. On December 19, 2022, we amended the ground lease which included the elimination of the termination rights. As a result, this lease was reclassified as a sales-type lease. We recorded a sales-type lease receivable of approximately $13.0 million, which includes an unguaranteed residual asset of approximately $17,000. In addition, we recorded a gain on sales-type lease of approximately $10.1 million associated with the derecognition of the asset. We did not recognize any interest income during the year ended December 31, 2022.</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Debt</w:t>
      </w:r>
    </w:p>
    <w:p>
      <w:pPr>
        <w:spacing w:after="0" w:line="105" w:lineRule="exact"/>
        <w:rPr>
          <w:sz w:val="20"/>
          <w:szCs w:val="20"/>
          <w:color w:val="auto"/>
        </w:rPr>
      </w:pPr>
    </w:p>
    <w:p>
      <w:pPr>
        <w:ind w:right="760" w:firstLine="391"/>
        <w:spacing w:after="0" w:line="253" w:lineRule="auto"/>
        <w:rPr>
          <w:sz w:val="20"/>
          <w:szCs w:val="20"/>
          <w:color w:val="auto"/>
        </w:rPr>
      </w:pPr>
      <w:r>
        <w:rPr>
          <w:rFonts w:ascii="Arial" w:cs="Arial" w:eastAsia="Arial" w:hAnsi="Arial"/>
          <w:sz w:val="16"/>
          <w:szCs w:val="16"/>
          <w:color w:val="auto"/>
        </w:rPr>
        <w:t>On May 17, 2022, BPLP entered into an unsecured credit agreement (the “2022 Unsecured Term Loan”) providing for a single borrowing of up to $730.0 million. The 2022 Unsecured Term Loan matures on May 16, 2023.</w:t>
      </w:r>
    </w:p>
    <w:p>
      <w:pPr>
        <w:spacing w:after="0" w:line="134"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On May 17, 2022, BPLP exercised its option to draw $730.0 million under the 2022 Unsecured Term Loan (See Notes 3 and 7 to the Consolidated Financial Statements). As of December 31, 2022, the 2022 Unsecured Term Loan bears interest at a variable rate equal to term the Secured Overnight Financing Rate (“SOFR”) plus 0.95% per annum based on BPLP’s credit rating at December 31, 2022. At December 31, 2022, BPLP had $730.0 million outstanding under the 2022 Unsecured Term Loan (See Note 16 to the Consolidated Financial Statements).</w:t>
      </w:r>
    </w:p>
    <w:p>
      <w:pPr>
        <w:spacing w:after="0" w:line="137"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On November 17, 2022, BPLP completed a public offering of $750.0 million in aggregate principal amount of its 6.750% unsecured senior notes due 2027. The notes were priced at 99.941% of the principal amount to yield an effective rate (including financing fees) of approximately 6.924% per annum to maturity. The notes will mature on December 1, 2027, unless earlier redeemed. The aggregate net proceeds from the offering were approximately $743.5 million after deducting underwriting discounts and transaction expenses.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Equity Transactions</w:t>
      </w:r>
    </w:p>
    <w:p>
      <w:pPr>
        <w:spacing w:after="0" w:line="105" w:lineRule="exact"/>
        <w:rPr>
          <w:sz w:val="20"/>
          <w:szCs w:val="20"/>
          <w:color w:val="auto"/>
        </w:rPr>
      </w:pPr>
    </w:p>
    <w:p>
      <w:pPr>
        <w:ind w:right="60" w:firstLine="391"/>
        <w:spacing w:after="0" w:line="275" w:lineRule="auto"/>
        <w:rPr>
          <w:sz w:val="20"/>
          <w:szCs w:val="20"/>
          <w:color w:val="auto"/>
        </w:rPr>
      </w:pPr>
      <w:r>
        <w:rPr>
          <w:rFonts w:ascii="Arial" w:cs="Arial" w:eastAsia="Arial" w:hAnsi="Arial"/>
          <w:sz w:val="15"/>
          <w:szCs w:val="15"/>
          <w:color w:val="auto"/>
        </w:rPr>
        <w:t>During the year ended December 31, 2022, BXP acquired an aggregate of 182,929 common units of limited partnership interest, including 78,249 common units issued upon the conversion of LTIP Units, 2012 outperformance plan awards (“2012 OPP Units”) and 2013 - 2022 multi-year, long-term incentive program awards (also referred to as “MYLTIP Units”), presented by the holders for redemption, in exchange for an equal number of shares of BXP common stock.</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Unconsolidated Joint Ventures</w:t>
      </w:r>
    </w:p>
    <w:p>
      <w:pPr>
        <w:spacing w:after="0" w:line="93" w:lineRule="exact"/>
        <w:rPr>
          <w:sz w:val="20"/>
          <w:szCs w:val="20"/>
          <w:color w:val="auto"/>
        </w:rPr>
      </w:pPr>
    </w:p>
    <w:p>
      <w:pPr>
        <w:ind w:right="380" w:firstLine="391"/>
        <w:spacing w:after="0" w:line="286" w:lineRule="auto"/>
        <w:rPr>
          <w:sz w:val="20"/>
          <w:szCs w:val="20"/>
          <w:color w:val="auto"/>
        </w:rPr>
      </w:pPr>
      <w:r>
        <w:rPr>
          <w:rFonts w:ascii="Arial" w:cs="Arial" w:eastAsia="Arial" w:hAnsi="Arial"/>
          <w:sz w:val="15"/>
          <w:szCs w:val="15"/>
          <w:color w:val="auto"/>
        </w:rPr>
        <w:t>On January 18, 2022, a joint venture in which we own a 50% interest commenced the redevelopment of 651 Gateway located in South San Francisco, California. 651 Gateway is a premier workplace that is being converted to approximately 327,000 net rentable square feet of life sciences space.</w:t>
      </w:r>
    </w:p>
    <w:p>
      <w:pPr>
        <w:spacing w:after="0" w:line="110" w:lineRule="exact"/>
        <w:rPr>
          <w:sz w:val="20"/>
          <w:szCs w:val="20"/>
          <w:color w:val="auto"/>
        </w:rPr>
      </w:pPr>
    </w:p>
    <w:p>
      <w:pPr>
        <w:ind w:right="200" w:firstLine="391"/>
        <w:spacing w:after="0" w:line="249" w:lineRule="auto"/>
        <w:rPr>
          <w:sz w:val="20"/>
          <w:szCs w:val="20"/>
          <w:color w:val="auto"/>
        </w:rPr>
      </w:pPr>
      <w:r>
        <w:rPr>
          <w:rFonts w:ascii="Arial" w:cs="Arial" w:eastAsia="Arial" w:hAnsi="Arial"/>
          <w:sz w:val="16"/>
          <w:szCs w:val="16"/>
          <w:color w:val="auto"/>
        </w:rPr>
        <w:t>On February 2, 2022, a joint venture in which we own a 55% interest commenced the development of the first phase of Platform 16, a premier workplace project located in San Jose, California, that is expected to contain approximately 1.1 million net rentable square feet upon completion. The first phase of the development projects includes the construction of an approximately 390,000 net rentable square foot premier workplace building and a below-grade parking garage.</w:t>
      </w:r>
    </w:p>
    <w:p>
      <w:pPr>
        <w:spacing w:after="0" w:line="137"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On March 28, 2022, a joint venture in which we own a 20% interest refinanced with a new lender the debt secured by its Metropolitan Square property located in Washington, DC. At the time of the refinancing, the loan had an outstanding balance of approximately $294.1 million, bore interest at a variable rate equal to (1) the greater of (x) London Interbank Offered Rate (“LIBOR”) or (y) 0.65%, plus (2) 4.75% per annum and was scheduled to mature on July 7, 2022, with two, one-year extension options, subject to certain conditions. There was no prepayment penalty associated with the prepayment of the previous mortgage loan. The joint venture recognized a loss from early extinguishment of debt totaling approximately $1.3 million due to the write-off of unamortized deferred financing costs. In conjunction with the refinancing, the joint venture settled its interest rate cap agreement, entered into in 2020, to limit its exposure to increases in the LIBOR rate. The new mortgage and mezzanine loans have an aggregate principal balance of $420.0 million, bear interest at a weighted average variable rate equal to SOFR plus 2.75% per annum and mature on April 9, 2024, with three, one-year extension options, subject to certain conditions.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joint venture distributed excess loan proceeds from the new mortgage and mezzanine loans totaling approximately $100.5 million, of which our share totaled approximately $20.1 million. On September 1, 2022, the joint venture entered into an interest rate cap agreement that capped SOFR at 4.50% per annum on a notional amount of $420.0 million through April 15, 2024. Metropolitan Square is a premier workplace with approximately 657,000 net rentable square feet located in Washington, DC.</w:t>
      </w:r>
    </w:p>
    <w:p>
      <w:pPr>
        <w:spacing w:after="0" w:line="13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April 18, 2022, a joint venture in which we own a 50% interest extended the maturity date of the construction loan collateralized by its Hub50House property to June 19, 2022. At the time of the extension, the loan had an outstanding balance of approximately $176.5 million, bore interest at a variable rate equal to LIBOR plus 2.00% per annum and was scheduled to mature on April 19, 2022. On June 17, 2022, the joint venture repaid the existing construction loan and obtained a new mortgage loan. The new mortgage loan has a principal balance of $185.0 million, bears interest at a variable rate equal to SOFR plus 1.35% per annum and matures on June 17, 2032. At closing, the joint venture entered into interest rate swap contracts with notional amounts aggregating $185.0 million through April 10, 2032, resulting in a fixed rate of approximately 4.432% per annum through the expiration of the interest rate swap contracts. In conjunction with the new mortgage loan, the joint venture paid off the existing construction loan. At the time of the payoff of the construction loan, the outstanding balance of the loan totaled approximately $176.7 million. The joint venture distributed excess loan proceeds from the new mortgage loan totaling approximately $6.8 million, of which our share totaled approximately $3.4 million. Hub50House is a residential property that consists of approximately 320,000 net rentable square feet and 440 residential units located in Boston, Massachusetts.</w:t>
      </w:r>
    </w:p>
    <w:p>
      <w:pPr>
        <w:spacing w:after="0" w:line="137"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On May 13, 2022, we entered into a joint venture with a third party to own, operate and develop Reston Next Residential located in Reston, Virginia. Reston Next Residential is expected to consist of 508 residential rental units upon completion. We contributed approximately $11.3 million of improvements at closing and will contribute cash totaling approximately $3.5 million post-closing for our 20% ownership interest in the joint venture. The partner contributed approximately $0.5 million of cash at closing and will contribute cash totaling approximately $58.7 million in the future for its 80% ownership interest in the joint venture. As a result of the partner’s deferred contribution, as of the acquisition date, we owned an approximately 96% interest in the joint venture. On May 13, 2022, the joint venture commenced development and entered into a construction loan collateralized by the property. The construction loan has a principal amount of up to $140.0 million, bears interest at a variable rate equal to SOFR plus 2.00% per annum and matures on May 13, 2026, with two, one-year extension options, subject to certain conditions.</w:t>
      </w:r>
    </w:p>
    <w:p>
      <w:pPr>
        <w:spacing w:after="0" w:line="138" w:lineRule="exact"/>
        <w:rPr>
          <w:sz w:val="20"/>
          <w:szCs w:val="20"/>
          <w:color w:val="auto"/>
        </w:rPr>
      </w:pPr>
    </w:p>
    <w:p>
      <w:pPr>
        <w:jc w:val="both"/>
        <w:ind w:right="140" w:firstLine="391"/>
        <w:spacing w:after="0" w:line="248" w:lineRule="auto"/>
        <w:rPr>
          <w:sz w:val="20"/>
          <w:szCs w:val="20"/>
          <w:color w:val="auto"/>
        </w:rPr>
      </w:pPr>
      <w:r>
        <w:rPr>
          <w:rFonts w:ascii="Arial" w:cs="Arial" w:eastAsia="Arial" w:hAnsi="Arial"/>
          <w:sz w:val="16"/>
          <w:szCs w:val="16"/>
          <w:color w:val="auto"/>
        </w:rPr>
        <w:t>On June 16, 2022, we entered into a joint venture with a third party to own, operate and develop 751 Gateway, a laboratory building located in South San Francisco, California, that is expected to be approximately 231,000 net rentable square feet upon completion. 751 Gateway was previously part of our Gateway Commons joint venture. We contributed assets with an agreed upon value aggregating approximately $53.9 million and cash totaling approximately $2.6 million for our 49% ownership interest in the joint venture. The partner contributed assets with an agreed upon value aggregating approximately $53.9 million and cash totaling approximately $4.9 million for its 51% ownership interest in the joint venture.</w:t>
      </w:r>
    </w:p>
    <w:p>
      <w:pPr>
        <w:spacing w:after="0" w:line="140" w:lineRule="exact"/>
        <w:rPr>
          <w:sz w:val="20"/>
          <w:szCs w:val="20"/>
          <w:color w:val="auto"/>
        </w:rPr>
      </w:pPr>
    </w:p>
    <w:p>
      <w:pPr>
        <w:ind w:right="40" w:firstLine="391"/>
        <w:spacing w:after="0" w:line="247" w:lineRule="auto"/>
        <w:rPr>
          <w:sz w:val="20"/>
          <w:szCs w:val="20"/>
          <w:color w:val="auto"/>
        </w:rPr>
      </w:pPr>
      <w:r>
        <w:rPr>
          <w:rFonts w:ascii="Arial" w:cs="Arial" w:eastAsia="Arial" w:hAnsi="Arial"/>
          <w:sz w:val="16"/>
          <w:szCs w:val="16"/>
          <w:color w:val="auto"/>
        </w:rPr>
        <w:t>On August 8, 2022, a joint venture in which we own a 50% interest modified the construction loan collateralized by its Dock 72 property located in Brooklyn, New York. At the time of the modification, the loan had an outstanding balance totaling approximately $198.4 million, a total commitment amount of</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$250.0 million, bore interest at a variable rate equal to LIBOR plus 3.35% per annum, and was scheduled to mature on December 18, 2023. The modified construction loan bore interest at a variable rate equal to (1) the greater of (x) SOFR or (y) 0.25% plus (2) 3.10% per annum, had a total commitment amount of approximately $198.4 million, and continued to mature on December 18, 2023. On December 22, 2022, the joint venture further modified the construction loan. The further modified construction loan bears interest at a variable rate equal to (1) the greater of (x) SOFR or (y) 0.25% plus (2) 2.50% per annum, has a total commitment amount of approximately $198.4 million, and matures on December 18, 2025. During December 2022, we recognized a non-cash impairment charge totaling approximately $50.7 million, which represented the other-than temporary decline in the fair value below the carrying value of our investment in the unconsolidated joint venture that owns Dock 72. We assessed the impairment and concluded that it was other than temporary. Dock 72 is a premier workplace with approximately 669,000 net rentable square feet.</w:t>
      </w:r>
    </w:p>
    <w:p>
      <w:pPr>
        <w:spacing w:after="0" w:line="138"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On September 9, 2022, a joint venture in which we own an approximate 33.67% interest modified the mortgage loan collateralized by its Safeco Plaza property located in Seattle, Washington. At the time of the modification, the loan had an outstanding balance of approximately $250.0 million, bore interest at a variable rate equal to the greater of (x) 2.35% or (y) LIBOR plus 2.20% per annum, and was scheduled to mature on September 1, 2026. The modified mortgage loan bears interest at a variable rate equal to the greater of (x) 2.35% or (y) SOFR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 w:name="page13"/>
    <w:bookmarkEnd w:id="12"/>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80"/>
        <w:spacing w:after="0" w:line="250" w:lineRule="auto"/>
        <w:rPr>
          <w:sz w:val="20"/>
          <w:szCs w:val="20"/>
          <w:color w:val="auto"/>
        </w:rPr>
      </w:pPr>
      <w:r>
        <w:rPr>
          <w:rFonts w:ascii="Arial" w:cs="Arial" w:eastAsia="Arial" w:hAnsi="Arial"/>
          <w:sz w:val="16"/>
          <w:szCs w:val="16"/>
          <w:color w:val="auto"/>
        </w:rPr>
        <w:t>plus 2.32% per annum and continues to mature on September 1, 2026. In conjunction with the loan modification, the joint venture entered into an interest rate cap agreement that capped SOFR at 2.50% per annum on a notional amount of $250.0 million through September 1, 2023. Safeco Plaza is a premier workplace with approximately 765,000 net rentable square feet.</w:t>
      </w:r>
    </w:p>
    <w:p>
      <w:pPr>
        <w:spacing w:after="0" w:line="136" w:lineRule="exact"/>
        <w:rPr>
          <w:sz w:val="20"/>
          <w:szCs w:val="20"/>
          <w:color w:val="auto"/>
        </w:rPr>
      </w:pPr>
    </w:p>
    <w:p>
      <w:pPr>
        <w:ind w:left="5" w:right="20" w:firstLine="391"/>
        <w:spacing w:after="0" w:line="247" w:lineRule="auto"/>
        <w:rPr>
          <w:sz w:val="20"/>
          <w:szCs w:val="20"/>
          <w:color w:val="auto"/>
        </w:rPr>
      </w:pPr>
      <w:r>
        <w:rPr>
          <w:rFonts w:ascii="Arial" w:cs="Arial" w:eastAsia="Arial" w:hAnsi="Arial"/>
          <w:sz w:val="16"/>
          <w:szCs w:val="16"/>
          <w:color w:val="auto"/>
        </w:rPr>
        <w:t>On November 17, 2022, we acquired a 26.69% interest in the joint venture that owns 200 Fifth Avenue located in New York, New York, for a gross purchase price of approximately $280.2 million, which included $120.1 million of cash and our pro rata share of the outstanding loan secured by the property of</w:t>
      </w:r>
    </w:p>
    <w:p>
      <w:pPr>
        <w:spacing w:after="0" w:line="1" w:lineRule="exact"/>
        <w:rPr>
          <w:sz w:val="20"/>
          <w:szCs w:val="20"/>
          <w:color w:val="auto"/>
        </w:rPr>
      </w:pPr>
    </w:p>
    <w:p>
      <w:pPr>
        <w:ind w:left="5" w:right="40"/>
        <w:spacing w:after="0" w:line="249" w:lineRule="auto"/>
        <w:rPr>
          <w:sz w:val="20"/>
          <w:szCs w:val="20"/>
          <w:color w:val="auto"/>
        </w:rPr>
      </w:pPr>
      <w:r>
        <w:rPr>
          <w:rFonts w:ascii="Arial" w:cs="Arial" w:eastAsia="Arial" w:hAnsi="Arial"/>
          <w:sz w:val="16"/>
          <w:szCs w:val="16"/>
          <w:color w:val="auto"/>
        </w:rPr>
        <w:t>$160.1 million. The mortgage loan bears interest at a variable rate equal to LIBOR plus 1.30% per annum and matures on November 24, 2028. The joint venture has interest rate swap contracts with notional amounts aggregating $600.0 million through June 2028, resulting in a fixed rate of approximately 4.34% per annum through the expiration of the interest rate swap contracts. 200 Fifth Avenue is a 14-story, approximately 855,000 square-foot, LEED Gold certified, premier workplace located in the Midtown South submarket.</w:t>
      </w:r>
    </w:p>
    <w:p>
      <w:pPr>
        <w:spacing w:after="0" w:line="137" w:lineRule="exact"/>
        <w:rPr>
          <w:sz w:val="20"/>
          <w:szCs w:val="20"/>
          <w:color w:val="auto"/>
        </w:rPr>
      </w:pPr>
    </w:p>
    <w:p>
      <w:pPr>
        <w:ind w:left="5" w:right="20" w:firstLine="391"/>
        <w:spacing w:after="0" w:line="263" w:lineRule="auto"/>
        <w:rPr>
          <w:sz w:val="20"/>
          <w:szCs w:val="20"/>
          <w:color w:val="auto"/>
        </w:rPr>
      </w:pPr>
      <w:r>
        <w:rPr>
          <w:rFonts w:ascii="Arial" w:cs="Arial" w:eastAsia="Arial" w:hAnsi="Arial"/>
          <w:sz w:val="15"/>
          <w:szCs w:val="15"/>
          <w:color w:val="auto"/>
        </w:rPr>
        <w:t>On December 7, 2022, a joint venture in which we own a 50% interest modified the mortgage loan collateralized by its Market Square North property located in Washington, DC. At the time of the modification the loan had an outstanding balance of approximately $125.0 million, bore interest at a variable rate equal to (1) the greater of (x) LIBOR or (y) 0.50%, plus (2) 2.30% per annum, and was scheduled to mature on November 10, 2025, with one, one-year extension option, subject to certain conditions. The modified mortgage loan bears interest at a variable rate equal to the greater of (1) the sum of (x) the “benchmark rate”,</w:t>
      </w:r>
    </w:p>
    <w:p>
      <w:pPr>
        <w:spacing w:after="0" w:line="2" w:lineRule="exact"/>
        <w:rPr>
          <w:sz w:val="20"/>
          <w:szCs w:val="20"/>
          <w:color w:val="auto"/>
        </w:rPr>
      </w:pPr>
    </w:p>
    <w:p>
      <w:pPr>
        <w:ind w:left="5" w:right="320" w:hanging="5"/>
        <w:spacing w:after="0" w:line="249" w:lineRule="auto"/>
        <w:tabs>
          <w:tab w:leader="none" w:pos="233" w:val="left"/>
        </w:tabs>
        <w:numPr>
          <w:ilvl w:val="0"/>
          <w:numId w:val="9"/>
        </w:numPr>
        <w:rPr>
          <w:rFonts w:ascii="Arial" w:cs="Arial" w:eastAsia="Arial" w:hAnsi="Arial"/>
          <w:sz w:val="16"/>
          <w:szCs w:val="16"/>
          <w:color w:val="auto"/>
        </w:rPr>
      </w:pPr>
      <w:r>
        <w:rPr>
          <w:rFonts w:ascii="Arial" w:cs="Arial" w:eastAsia="Arial" w:hAnsi="Arial"/>
          <w:sz w:val="16"/>
          <w:szCs w:val="16"/>
          <w:color w:val="auto"/>
        </w:rPr>
        <w:t>2.30% and (z) the adjustment applicable to such “benchmark rate” (approximately 0.11% for Term SOFR), or (2) 2.80%. For the period December 7, 2022 through March 9, 2023, the “benchmark rate” means LIBOR, and for the period after March 10, 2023, through the maturity date, Term SOFR. The modified mortgage loan continues to mature on November 10, 2025, with a one-year extension option, subject to certain conditions. Market Square North is a premier workplace with approximately 418,000 net rentable square feet located in Washington, DC.</w:t>
      </w:r>
    </w:p>
    <w:p>
      <w:pPr>
        <w:spacing w:after="0" w:line="137" w:lineRule="exact"/>
        <w:rPr>
          <w:sz w:val="20"/>
          <w:szCs w:val="20"/>
          <w:color w:val="auto"/>
        </w:rPr>
      </w:pPr>
    </w:p>
    <w:p>
      <w:pPr>
        <w:ind w:left="5" w:firstLine="391"/>
        <w:spacing w:after="0" w:line="248" w:lineRule="auto"/>
        <w:rPr>
          <w:sz w:val="20"/>
          <w:szCs w:val="20"/>
          <w:color w:val="auto"/>
        </w:rPr>
      </w:pPr>
      <w:r>
        <w:rPr>
          <w:rFonts w:ascii="Arial" w:cs="Arial" w:eastAsia="Arial" w:hAnsi="Arial"/>
          <w:sz w:val="16"/>
          <w:szCs w:val="16"/>
          <w:color w:val="auto"/>
        </w:rPr>
        <w:t>On December 23, 2022, a joint venture in which we own a 50% interest modified the construction loan collateralized by its The Hub on Causeway – Podium property located in Boston, Massachusetts. At the time of the modification, the loan had an outstanding balance of approximately $174.3 million, bore interest at a variable rate equal to LIBOR plus 2.25% per annum, and was scheduled to mature on September 6, 2023. The modified construction loan continues to bear interest at a variable rate equal to LIBOR plus 2.25% per annum for the period from December 23, 2022 through April 30, 2023. For the period from May 1, 2023 through the maturity date, the construction loan bears interest at a variable rate equal to Term SOFR plus 2.35% per annum. The modified construction loan continues to mature on September 6, 2023. The Hub on Causeway – Podium is a premier workplace with approximately 380,000 net rentable square feet located in Boston, Massachusetts.</w:t>
      </w:r>
    </w:p>
    <w:p>
      <w:pPr>
        <w:spacing w:after="0" w:line="139" w:lineRule="exact"/>
        <w:rPr>
          <w:sz w:val="20"/>
          <w:szCs w:val="20"/>
          <w:color w:val="auto"/>
        </w:rPr>
      </w:pPr>
    </w:p>
    <w:p>
      <w:pPr>
        <w:ind w:left="5" w:right="20" w:firstLine="391"/>
        <w:spacing w:after="0" w:line="267" w:lineRule="auto"/>
        <w:rPr>
          <w:sz w:val="20"/>
          <w:szCs w:val="20"/>
          <w:color w:val="auto"/>
        </w:rPr>
      </w:pPr>
      <w:r>
        <w:rPr>
          <w:rFonts w:ascii="Arial" w:cs="Arial" w:eastAsia="Arial" w:hAnsi="Arial"/>
          <w:sz w:val="15"/>
          <w:szCs w:val="15"/>
          <w:color w:val="auto"/>
        </w:rPr>
        <w:t>On December 23, 2022, a joint venture in which we own a 50% interest modified the construction loan collateralized by its 100 Causeway Street property located in Boston, Massachusetts. At the time of the modification, the loan had an outstanding balance of approximately $337.6 million, bore interest at a variable rate equal to LIBOR plus 1.50% per annum, and was scheduled to mature on September 5, 2023, with two, one-year extension options, subject to certain conditions. The modified construction loan continues to bear interest at a variable rate equal to LIBOR plus 1.50% per annum for the period from December 23, 2022 through April 30, 2023. For the period from May 1, 2023 through the maturity date, the construction loan will bear interest at a variable rate equal to Term SOFR plus 1.60% per annum. The modified construction loan continues to mature on September 5, 2023, with two, one-year extension options, subject to certain conditions. 100 Causeway Street is a premier workplace with approximately 630,000 net rentable square feet located in Boston, Massachusetts.</w:t>
      </w:r>
    </w:p>
    <w:p>
      <w:pPr>
        <w:spacing w:after="0" w:line="193" w:lineRule="exact"/>
        <w:rPr>
          <w:sz w:val="20"/>
          <w:szCs w:val="20"/>
          <w:color w:val="auto"/>
        </w:rPr>
      </w:pPr>
    </w:p>
    <w:p>
      <w:pPr>
        <w:ind w:left="185"/>
        <w:spacing w:after="0"/>
        <w:rPr>
          <w:sz w:val="20"/>
          <w:szCs w:val="20"/>
          <w:color w:val="auto"/>
        </w:rPr>
      </w:pPr>
      <w:r>
        <w:rPr>
          <w:rFonts w:ascii="Arial" w:cs="Arial" w:eastAsia="Arial" w:hAnsi="Arial"/>
          <w:sz w:val="16"/>
          <w:szCs w:val="16"/>
          <w:i w:val="1"/>
          <w:iCs w:val="1"/>
          <w:color w:val="auto"/>
        </w:rPr>
        <w:t>Stock Option and Incentive Plan</w:t>
      </w:r>
    </w:p>
    <w:p>
      <w:pPr>
        <w:spacing w:after="0" w:line="93" w:lineRule="exact"/>
        <w:rPr>
          <w:sz w:val="20"/>
          <w:szCs w:val="20"/>
          <w:color w:val="auto"/>
        </w:rPr>
      </w:pPr>
    </w:p>
    <w:p>
      <w:pPr>
        <w:ind w:left="5" w:right="280" w:firstLine="391"/>
        <w:spacing w:after="0" w:line="249" w:lineRule="auto"/>
        <w:rPr>
          <w:sz w:val="20"/>
          <w:szCs w:val="20"/>
          <w:color w:val="auto"/>
        </w:rPr>
      </w:pPr>
      <w:r>
        <w:rPr>
          <w:rFonts w:ascii="Arial" w:cs="Arial" w:eastAsia="Arial" w:hAnsi="Arial"/>
          <w:sz w:val="16"/>
          <w:szCs w:val="16"/>
          <w:color w:val="auto"/>
        </w:rPr>
        <w:t>On February 1, 2022, BXP’s Compensation Committee approved a new equity-based, multi-year, long-term incentive program (the “2022 MYLTIP”) as a performance-based component of our overall compensation program. Under the Financial Accounting Standards Board’s Accounting Standards Codification (“ASC”) 718 “Compensation - Stock Compensation,” the 2022 MYLTIP has an aggregate value of approximately $17.3 million, which amount will generally be amortized into earnings under the graded vesting method (See Note 14 to the Consolidated Financial Statements).</w:t>
      </w:r>
    </w:p>
    <w:p>
      <w:pPr>
        <w:spacing w:after="0" w:line="137" w:lineRule="exact"/>
        <w:rPr>
          <w:sz w:val="20"/>
          <w:szCs w:val="20"/>
          <w:color w:val="auto"/>
        </w:rPr>
      </w:pPr>
    </w:p>
    <w:p>
      <w:pPr>
        <w:ind w:left="5" w:right="240" w:firstLine="391"/>
        <w:spacing w:after="0" w:line="250" w:lineRule="auto"/>
        <w:rPr>
          <w:sz w:val="20"/>
          <w:szCs w:val="20"/>
          <w:color w:val="auto"/>
        </w:rPr>
      </w:pPr>
      <w:r>
        <w:rPr>
          <w:rFonts w:ascii="Arial" w:cs="Arial" w:eastAsia="Arial" w:hAnsi="Arial"/>
          <w:sz w:val="16"/>
          <w:szCs w:val="16"/>
          <w:color w:val="auto"/>
        </w:rPr>
        <w:t>On February 4, 2022, the measurement period for our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200" w:lineRule="exact"/>
        <w:rPr>
          <w:sz w:val="20"/>
          <w:szCs w:val="20"/>
          <w:color w:val="auto"/>
        </w:rPr>
      </w:pPr>
    </w:p>
    <w:p>
      <w:pPr>
        <w:spacing w:after="0" w:line="28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Business and Growth Strategies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Strategies</w:t>
      </w:r>
    </w:p>
    <w:p>
      <w:pPr>
        <w:spacing w:after="0" w:line="109" w:lineRule="exact"/>
        <w:rPr>
          <w:sz w:val="20"/>
          <w:szCs w:val="20"/>
          <w:color w:val="auto"/>
        </w:rPr>
      </w:pPr>
    </w:p>
    <w:p>
      <w:pPr>
        <w:ind w:right="540" w:firstLine="391"/>
        <w:spacing w:after="0" w:line="253" w:lineRule="auto"/>
        <w:rPr>
          <w:sz w:val="20"/>
          <w:szCs w:val="20"/>
          <w:color w:val="auto"/>
        </w:rPr>
      </w:pPr>
      <w:r>
        <w:rPr>
          <w:rFonts w:ascii="Arial" w:cs="Arial" w:eastAsia="Arial" w:hAnsi="Arial"/>
          <w:sz w:val="16"/>
          <w:szCs w:val="16"/>
          <w:color w:val="auto"/>
        </w:rPr>
        <w:t>Our primary business objective is to maximize return on investment to provide our investors with the greatest possible total return in all points of the economic cycle. Our strategies to achieve this objective are:</w:t>
      </w:r>
    </w:p>
    <w:p>
      <w:pPr>
        <w:spacing w:after="0" w:line="122" w:lineRule="exact"/>
        <w:rPr>
          <w:sz w:val="20"/>
          <w:szCs w:val="20"/>
          <w:color w:val="auto"/>
        </w:rPr>
      </w:pPr>
    </w:p>
    <w:p>
      <w:pPr>
        <w:ind w:left="640" w:right="20" w:hanging="290"/>
        <w:spacing w:after="0" w:line="248"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target a few carefully selected dynamic gateway markets—Boston, Los Angeles, New York, San Francisco, Seattle and Washington, DC—and to be one of the leading, if not the leading, developers, owners and managers in each of those markets with a full-service office in each market providing property management, leasing, development, construction and legal expertise. We select markets and submarkets with a diverse economic base and a deep pool of prospective clients in various industries and where clients have demonstrated a preference for premier workplaces and other facilities. Additionally, our markets have historically been able to recruit new talent to them and as such created job growth that results in growth in rental rates and occupancy over time. We have explored, and may continue to explore for future investment, select domestic and international markets that exhibit these same traits;</w:t>
      </w:r>
    </w:p>
    <w:p>
      <w:pPr>
        <w:spacing w:after="0" w:line="114" w:lineRule="exact"/>
        <w:rPr>
          <w:rFonts w:ascii="Arial" w:cs="Arial" w:eastAsia="Arial" w:hAnsi="Arial"/>
          <w:sz w:val="16"/>
          <w:szCs w:val="16"/>
          <w:color w:val="auto"/>
        </w:rPr>
      </w:pPr>
    </w:p>
    <w:p>
      <w:pPr>
        <w:ind w:left="640" w:right="120" w:hanging="290"/>
        <w:spacing w:after="0" w:line="250"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emphasize markets and submarkets within those markets where the difficulty of receiving the necessary approvals for development and the necessary financing constitute high barriers to the creation of new supply, and where skill, financial strength and diligence are required to successfully develop, finance and manage high-quality office and life sciences space, as well as selected retail and residential space;</w:t>
      </w:r>
    </w:p>
    <w:p>
      <w:pPr>
        <w:spacing w:after="0" w:line="124" w:lineRule="exact"/>
        <w:rPr>
          <w:rFonts w:ascii="Arial" w:cs="Arial" w:eastAsia="Arial" w:hAnsi="Arial"/>
          <w:sz w:val="16"/>
          <w:szCs w:val="16"/>
          <w:color w:val="auto"/>
        </w:rPr>
      </w:pPr>
    </w:p>
    <w:p>
      <w:pPr>
        <w:ind w:left="640" w:right="300" w:hanging="290"/>
        <w:spacing w:after="0" w:line="253"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take on complex, technically challenging development projects, leveraging the skills of our management team to successfully develop, acquire or reposition properties that other organizations may not have the capacity or resources to pursue;</w:t>
      </w:r>
    </w:p>
    <w:p>
      <w:pPr>
        <w:spacing w:after="0" w:line="121" w:lineRule="exact"/>
        <w:rPr>
          <w:rFonts w:ascii="Arial" w:cs="Arial" w:eastAsia="Arial" w:hAnsi="Arial"/>
          <w:sz w:val="16"/>
          <w:szCs w:val="16"/>
          <w:color w:val="auto"/>
        </w:rPr>
      </w:pPr>
    </w:p>
    <w:p>
      <w:pPr>
        <w:ind w:left="640" w:right="40" w:hanging="290"/>
        <w:spacing w:after="0" w:line="250"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own and develop high-quality real estate designed to meet the demands of today’s clients who require sophisticated telecommunications and related infrastructure, support services, sustainable features and amenities, including those amenities that enrich in-person experiences and support a hybrid work environment, and to manage those facilities so as to become the landlord of choice for both existing and prospective clients;</w:t>
      </w:r>
    </w:p>
    <w:p>
      <w:pPr>
        <w:spacing w:after="0" w:line="112" w:lineRule="exact"/>
        <w:rPr>
          <w:rFonts w:ascii="Arial" w:cs="Arial" w:eastAsia="Arial" w:hAnsi="Arial"/>
          <w:sz w:val="16"/>
          <w:szCs w:val="16"/>
          <w:color w:val="auto"/>
        </w:rPr>
      </w:pPr>
    </w:p>
    <w:p>
      <w:pPr>
        <w:ind w:left="640" w:right="220" w:hanging="290"/>
        <w:spacing w:after="0" w:line="250"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opportunistically acquire assets that increase our market share in the markets in which we have chosen to concentrate, as well as potential new markets, which exhibit an opportunity to improve returns through repositioning (through a combination of capital improvements and shift in marketing strategy), changes in management focus and leasing;</w:t>
      </w:r>
    </w:p>
    <w:p>
      <w:pPr>
        <w:spacing w:after="0" w:line="124" w:lineRule="exact"/>
        <w:rPr>
          <w:rFonts w:ascii="Arial" w:cs="Arial" w:eastAsia="Arial" w:hAnsi="Arial"/>
          <w:sz w:val="16"/>
          <w:szCs w:val="16"/>
          <w:color w:val="auto"/>
        </w:rPr>
      </w:pPr>
    </w:p>
    <w:p>
      <w:pPr>
        <w:ind w:left="640" w:hanging="290"/>
        <w:spacing w:after="0" w:line="250"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explore joint venture opportunities with (1) existing property owners located in desirable locations, who seek to benefit from the depth of development and management expertise we are able to provide and our access to capital and (2) expand our SCP, leveraging our skills as developers, owners and managers of premier workplaces and mixed-use complexes;</w:t>
      </w:r>
    </w:p>
    <w:p>
      <w:pPr>
        <w:spacing w:after="0" w:line="124" w:lineRule="exact"/>
        <w:rPr>
          <w:rFonts w:ascii="Arial" w:cs="Arial" w:eastAsia="Arial" w:hAnsi="Arial"/>
          <w:sz w:val="16"/>
          <w:szCs w:val="16"/>
          <w:color w:val="auto"/>
        </w:rPr>
      </w:pPr>
    </w:p>
    <w:p>
      <w:pPr>
        <w:jc w:val="both"/>
        <w:ind w:left="640" w:right="180" w:hanging="290"/>
        <w:spacing w:after="0" w:line="286" w:lineRule="auto"/>
        <w:tabs>
          <w:tab w:leader="none" w:pos="63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pursue on a selective basis the sale of properties or interests therein, including core properties, to either (1) take advantage of the demand for our premier properties and realize the value we have created or (2) pare from our portfolio properties that we believe have slower future growth potential;</w:t>
      </w:r>
    </w:p>
    <w:p>
      <w:pPr>
        <w:spacing w:after="0" w:line="86" w:lineRule="exact"/>
        <w:rPr>
          <w:rFonts w:ascii="Arial" w:cs="Arial" w:eastAsia="Arial" w:hAnsi="Arial"/>
          <w:sz w:val="15"/>
          <w:szCs w:val="15"/>
          <w:color w:val="auto"/>
        </w:rPr>
      </w:pPr>
    </w:p>
    <w:p>
      <w:pPr>
        <w:ind w:left="640" w:right="300" w:hanging="290"/>
        <w:spacing w:after="0" w:line="253"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seek third-party development contracts to enable us to retain and utilize our existing development and construction management staff, especially when our internal development is less active or when new development is less-warranted due to market conditions; and</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enhance our capital structure through our access to a variety of sources of capital and proactively manage our debt expirations.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 Strategies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External Growth Strategies</w:t>
      </w:r>
    </w:p>
    <w:p>
      <w:pPr>
        <w:spacing w:after="0" w:line="105" w:lineRule="exact"/>
        <w:rPr>
          <w:sz w:val="20"/>
          <w:szCs w:val="20"/>
          <w:color w:val="auto"/>
        </w:rPr>
      </w:pPr>
    </w:p>
    <w:p>
      <w:pPr>
        <w:ind w:right="180" w:firstLine="391"/>
        <w:spacing w:after="0" w:line="249" w:lineRule="auto"/>
        <w:rPr>
          <w:sz w:val="20"/>
          <w:szCs w:val="20"/>
          <w:color w:val="auto"/>
        </w:rPr>
      </w:pPr>
      <w:r>
        <w:rPr>
          <w:rFonts w:ascii="Arial" w:cs="Arial" w:eastAsia="Arial" w:hAnsi="Arial"/>
          <w:sz w:val="16"/>
          <w:szCs w:val="16"/>
          <w:color w:val="auto"/>
        </w:rPr>
        <w:t>We believe that our development experience, our organizational depth, utilization of our SCP and our balance sheet position us to continue to selectively develop a range of premier workplaces, including high-rise urban developments, mixed-use developments (including office, residential and retail), low-rise suburban office properties and life sciences space, within budget and on schedule. We believe we are also well-positioned to achieve external growth through acquisitions. Other factors that contribute to our competitive position include:</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right="280" w:hanging="290"/>
        <w:spacing w:after="0" w:line="253" w:lineRule="auto"/>
        <w:tabs>
          <w:tab w:leader="none" w:pos="630" w:val="left"/>
        </w:tabs>
        <w:numPr>
          <w:ilvl w:val="0"/>
          <w:numId w:val="11"/>
        </w:numPr>
        <w:rPr>
          <w:rFonts w:ascii="Arial" w:cs="Arial" w:eastAsia="Arial" w:hAnsi="Arial"/>
          <w:sz w:val="14"/>
          <w:szCs w:val="14"/>
          <w:color w:val="auto"/>
        </w:rPr>
      </w:pPr>
      <w:r>
        <w:rPr>
          <w:rFonts w:ascii="Arial" w:cs="Arial" w:eastAsia="Arial" w:hAnsi="Arial"/>
          <w:sz w:val="16"/>
          <w:szCs w:val="16"/>
          <w:color w:val="auto"/>
        </w:rPr>
        <w:t>our control of sites (including sites under contract or option to acquire) in our markets that could support approximately 16.9 million additional square feet of new development (see Note 16 to the Consolidated Financial Statements);</w:t>
      </w:r>
    </w:p>
    <w:p>
      <w:pPr>
        <w:spacing w:after="0" w:line="109" w:lineRule="exact"/>
        <w:rPr>
          <w:rFonts w:ascii="Arial" w:cs="Arial" w:eastAsia="Arial" w:hAnsi="Arial"/>
          <w:sz w:val="14"/>
          <w:szCs w:val="14"/>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reputation gained through 53 years of successful operations and the stability and strength of our existing portfolio of properties;</w:t>
      </w:r>
    </w:p>
    <w:p>
      <w:pPr>
        <w:spacing w:after="0" w:line="135" w:lineRule="exact"/>
        <w:rPr>
          <w:rFonts w:ascii="Arial" w:cs="Arial" w:eastAsia="Arial" w:hAnsi="Arial"/>
          <w:sz w:val="16"/>
          <w:szCs w:val="16"/>
          <w:color w:val="auto"/>
        </w:rPr>
      </w:pPr>
    </w:p>
    <w:p>
      <w:pPr>
        <w:ind w:left="640" w:right="480" w:hanging="290"/>
        <w:spacing w:after="0" w:line="253"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relationships with leading national corporations, universities and public institutions, including government agencies, seeking new facilities and development services;</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relationships with nationally recognized financial institutions that provide capital to the real estate industry;</w:t>
      </w:r>
    </w:p>
    <w:p>
      <w:pPr>
        <w:spacing w:after="0" w:line="124" w:lineRule="exact"/>
        <w:rPr>
          <w:rFonts w:ascii="Arial" w:cs="Arial" w:eastAsia="Arial" w:hAnsi="Arial"/>
          <w:sz w:val="16"/>
          <w:szCs w:val="16"/>
          <w:color w:val="auto"/>
        </w:rPr>
      </w:pPr>
    </w:p>
    <w:p>
      <w:pPr>
        <w:ind w:left="640" w:right="780" w:hanging="290"/>
        <w:spacing w:after="0" w:line="253"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track record and reputation for executing acquisitions efficiently provide comfort to domestic and foreign institutions, private investors and corporations who seek to sell commercial real estate in our market areas;</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act quickly on due diligence and financing;</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relationships with institutional buyers and sellers of high-quality real estate assets;</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procure entitlements from multiple municipalities to develop sites and attract land owners to sell or partner with us; and</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relationship with domestic and foreign investors, including SCP partners, who seek to partner with companies like ours.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Opportunities to execute our external growth strategy fall into three categories:</w:t>
      </w:r>
    </w:p>
    <w:p>
      <w:pPr>
        <w:spacing w:after="0" w:line="108" w:lineRule="exact"/>
        <w:rPr>
          <w:sz w:val="20"/>
          <w:szCs w:val="20"/>
          <w:color w:val="auto"/>
        </w:rPr>
      </w:pPr>
    </w:p>
    <w:p>
      <w:pPr>
        <w:ind w:left="640" w:hanging="290"/>
        <w:spacing w:after="0" w:line="252"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Development in selected submarkets. </w:t>
      </w:r>
      <w:r>
        <w:rPr>
          <w:rFonts w:ascii="Arial" w:cs="Arial" w:eastAsia="Arial" w:hAnsi="Arial"/>
          <w:sz w:val="16"/>
          <w:szCs w:val="16"/>
          <w:color w:val="auto"/>
        </w:rPr>
        <w:t>We believe the selected development of well-positioned premier workplaces, including office,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buildings and mixed-use complexes may be justified in our markets. We believe in acquiring land after taking into consideration timing factors relating to economic cycles and in response to market conditions that allow for its development at the appropriate time. While we purposely concentrate in markets with high barriers-to-entry, we have demonstrated throughout our 53-year history, an ability to make carefully timed land acquisitions in submarkets where we can become one of the market leaders in establishing rent and other business terms. We believe that there are opportunities at key locations in our existing and other markets for a well-capitalized developer to acquire land with development potential.</w:t>
      </w:r>
    </w:p>
    <w:p>
      <w:pPr>
        <w:spacing w:after="0" w:line="136" w:lineRule="exact"/>
        <w:rPr>
          <w:rFonts w:ascii="Arial" w:cs="Arial" w:eastAsia="Arial" w:hAnsi="Arial"/>
          <w:sz w:val="16"/>
          <w:szCs w:val="16"/>
          <w:color w:val="auto"/>
        </w:rPr>
      </w:pPr>
    </w:p>
    <w:p>
      <w:pPr>
        <w:ind w:left="640" w:right="80"/>
        <w:spacing w:after="0" w:line="248" w:lineRule="auto"/>
        <w:rPr>
          <w:rFonts w:ascii="Arial" w:cs="Arial" w:eastAsia="Arial" w:hAnsi="Arial"/>
          <w:sz w:val="16"/>
          <w:szCs w:val="16"/>
          <w:color w:val="auto"/>
        </w:rPr>
      </w:pPr>
      <w:r>
        <w:rPr>
          <w:rFonts w:ascii="Arial" w:cs="Arial" w:eastAsia="Arial" w:hAnsi="Arial"/>
          <w:sz w:val="16"/>
          <w:szCs w:val="16"/>
          <w:color w:val="auto"/>
        </w:rPr>
        <w:t>In the past, we have been particularly successful at acquiring sites or options to purchase sites that need governmental approvals for development. Because of our development expertise, knowledge of the governmental approval process and reputation for quality development with local government regulatory bodies, we generally have been able to secure the permits necessary to allow development and to profit from the resulting increase in land value. We seek complex projects where we can add value through the efforts of our experienced and skilled management team leading to attractive returns on investment.</w:t>
      </w:r>
    </w:p>
    <w:p>
      <w:pPr>
        <w:spacing w:after="0" w:line="139" w:lineRule="exact"/>
        <w:rPr>
          <w:rFonts w:ascii="Arial" w:cs="Arial" w:eastAsia="Arial" w:hAnsi="Arial"/>
          <w:sz w:val="16"/>
          <w:szCs w:val="16"/>
          <w:color w:val="auto"/>
        </w:rPr>
      </w:pPr>
    </w:p>
    <w:p>
      <w:pPr>
        <w:ind w:left="640" w:right="140"/>
        <w:spacing w:after="0" w:line="250" w:lineRule="auto"/>
        <w:rPr>
          <w:rFonts w:ascii="Arial" w:cs="Arial" w:eastAsia="Arial" w:hAnsi="Arial"/>
          <w:sz w:val="16"/>
          <w:szCs w:val="16"/>
          <w:color w:val="auto"/>
        </w:rPr>
      </w:pPr>
      <w:r>
        <w:rPr>
          <w:rFonts w:ascii="Arial" w:cs="Arial" w:eastAsia="Arial" w:hAnsi="Arial"/>
          <w:sz w:val="16"/>
          <w:szCs w:val="16"/>
          <w:color w:val="auto"/>
        </w:rPr>
        <w:t>Our strong regional relationships and recognized development expertise have enabled us to capitalize on unique build-to-suit opportunities. We intend to seek and expect to continue to be presented with such opportunities in the near term allowing us to earn relatively significant returns on these development opportunities through multiple business cycles.</w:t>
      </w:r>
    </w:p>
    <w:p>
      <w:pPr>
        <w:spacing w:after="0" w:line="120" w:lineRule="exact"/>
        <w:rPr>
          <w:rFonts w:ascii="Arial" w:cs="Arial" w:eastAsia="Arial" w:hAnsi="Arial"/>
          <w:sz w:val="16"/>
          <w:szCs w:val="16"/>
          <w:color w:val="auto"/>
        </w:rPr>
      </w:pPr>
    </w:p>
    <w:p>
      <w:pPr>
        <w:ind w:left="640" w:hanging="290"/>
        <w:spacing w:after="0" w:line="251" w:lineRule="auto"/>
        <w:tabs>
          <w:tab w:leader="none" w:pos="636"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Acquisition of assets and portfolios of assets from institutions or individuals. </w:t>
      </w:r>
      <w:r>
        <w:rPr>
          <w:rFonts w:ascii="Arial" w:cs="Arial" w:eastAsia="Arial" w:hAnsi="Arial"/>
          <w:sz w:val="16"/>
          <w:szCs w:val="16"/>
          <w:color w:val="auto"/>
        </w:rPr>
        <w:t>We believe that due to our size, management strength and reputation, we</w:t>
      </w:r>
      <w:r>
        <w:rPr>
          <w:rFonts w:ascii="Arial" w:cs="Arial" w:eastAsia="Arial" w:hAnsi="Arial"/>
          <w:sz w:val="16"/>
          <w:szCs w:val="16"/>
          <w:i w:val="1"/>
          <w:iCs w:val="1"/>
          <w:color w:val="auto"/>
        </w:rPr>
        <w:t xml:space="preserve"> </w:t>
      </w:r>
      <w:r>
        <w:rPr>
          <w:rFonts w:ascii="Arial" w:cs="Arial" w:eastAsia="Arial" w:hAnsi="Arial"/>
          <w:sz w:val="16"/>
          <w:szCs w:val="16"/>
          <w:color w:val="auto"/>
        </w:rPr>
        <w:t>are well positioned to acquire portfolios of assets or individual properties from institutions or individuals if valuations meet our criteria. In addition, we believe that our market knowledge and our liquidity and access to capital may provide us with a competitive advantage when pursuing acquisitions. Opportunities to acquire properties may also come through the purchase of first mortgage or mezzanine debt. We are also able to appeal to sellers wishing to contribute on a tax-deferred basis their ownership of property for equity in a diversified real estate operating company that offers liquidity through access to the public equity markets in addition to a quarterly distribution. Our ability to offer common and preferred units of limited partnership in BPLP to sellers who would otherwise recognize a taxable gain upon a sale of assets for cash or BXP’s common stock may facilitate these types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right="480"/>
        <w:spacing w:after="0" w:line="253" w:lineRule="auto"/>
        <w:rPr>
          <w:sz w:val="20"/>
          <w:szCs w:val="20"/>
          <w:color w:val="auto"/>
        </w:rPr>
      </w:pPr>
      <w:r>
        <w:rPr>
          <w:rFonts w:ascii="Arial" w:cs="Arial" w:eastAsia="Arial" w:hAnsi="Arial"/>
          <w:sz w:val="16"/>
          <w:szCs w:val="16"/>
          <w:color w:val="auto"/>
        </w:rPr>
        <w:t>of acquisitions on a tax-efficient basis. Existing promulgated Treasury regulations may limit the tax benefits previously available to sellers in some variations of these transactions.</w:t>
      </w:r>
    </w:p>
    <w:p>
      <w:pPr>
        <w:spacing w:after="0" w:line="118" w:lineRule="exact"/>
        <w:rPr>
          <w:sz w:val="20"/>
          <w:szCs w:val="20"/>
          <w:color w:val="auto"/>
        </w:rPr>
      </w:pPr>
    </w:p>
    <w:p>
      <w:pPr>
        <w:jc w:val="both"/>
        <w:ind w:left="640" w:right="20" w:hanging="290"/>
        <w:spacing w:after="0" w:line="254"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Acquisition of underperforming assets and portfolios of assets</w:t>
      </w:r>
      <w:r>
        <w:rPr>
          <w:rFonts w:ascii="Arial" w:cs="Arial" w:eastAsia="Arial" w:hAnsi="Arial"/>
          <w:sz w:val="16"/>
          <w:szCs w:val="16"/>
          <w:color w:val="auto"/>
        </w:rPr>
        <w:t>. We believe that because of our in-depth market knowledge and development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of our markets, our national reputation with brokers, financial institutions, owners of real estate and others involved in the real estate market and our access to competitively-priced capital, we are well-positioned to identify and acquire existing, underperforming properties for competitive prices and to add significant additional value to such properties through our effective marketing strategies, repositioning/redevelopment expertise and a responsive property management program.</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Internal Growth Strategies</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believe that opportunities will exist to increase cash flow from our existing properties through an increase in occupancy and rental rates because they are of high quality and in desirable locations. Additionally, our markets have diversified economies that have historically experienced job growth and increased use of office space, resulting in growth in rental rates and occupancy over time. Our strategy for maximizing the benefits from these opportunities is three-fold: (1) to provide high-quality property management services using our employees in order to encourage clients to renew, expand and relocate in our properties, (2) to achieve speed and transaction cost efficiency in replacing departing clients through the use of in-house services for marketing, lease negotiation and construction of tenant and capital improvements and (3) to work with new or existing clients with space expansion or contraction needs, leveraging our expertise and clustering of assets to maximize the cash flow from our assets. We expect to continue our internal growth as a result of our ability to:</w:t>
      </w:r>
    </w:p>
    <w:p>
      <w:pPr>
        <w:spacing w:after="0" w:line="111" w:lineRule="exact"/>
        <w:rPr>
          <w:sz w:val="20"/>
          <w:szCs w:val="20"/>
          <w:color w:val="auto"/>
        </w:rPr>
      </w:pPr>
    </w:p>
    <w:p>
      <w:pPr>
        <w:ind w:left="640" w:right="20" w:hanging="290"/>
        <w:spacing w:after="0" w:line="261"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Cultivate existing submarkets and long-term relationships with credit clients. </w:t>
      </w:r>
      <w:r>
        <w:rPr>
          <w:rFonts w:ascii="Arial" w:cs="Arial" w:eastAsia="Arial" w:hAnsi="Arial"/>
          <w:sz w:val="16"/>
          <w:szCs w:val="16"/>
          <w:color w:val="auto"/>
        </w:rPr>
        <w:t>In choosing locations for our properties, we have paid particular attention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and commuting patterns, physical environment, adjacency to established business centers and amenities, proximity to sources of business growth and other local factors.</w:t>
      </w:r>
    </w:p>
    <w:p>
      <w:pPr>
        <w:spacing w:after="0" w:line="126" w:lineRule="exact"/>
        <w:rPr>
          <w:rFonts w:ascii="Arial" w:cs="Arial" w:eastAsia="Arial" w:hAnsi="Arial"/>
          <w:sz w:val="16"/>
          <w:szCs w:val="16"/>
          <w:color w:val="auto"/>
        </w:rPr>
      </w:pPr>
    </w:p>
    <w:p>
      <w:pPr>
        <w:ind w:left="640" w:right="420"/>
        <w:spacing w:after="0" w:line="249" w:lineRule="auto"/>
        <w:rPr>
          <w:rFonts w:ascii="Arial" w:cs="Arial" w:eastAsia="Arial" w:hAnsi="Arial"/>
          <w:sz w:val="16"/>
          <w:szCs w:val="16"/>
          <w:color w:val="auto"/>
        </w:rPr>
      </w:pPr>
      <w:r>
        <w:rPr>
          <w:rFonts w:ascii="Arial" w:cs="Arial" w:eastAsia="Arial" w:hAnsi="Arial"/>
          <w:sz w:val="16"/>
          <w:szCs w:val="16"/>
          <w:color w:val="auto"/>
        </w:rPr>
        <w:t>The weighted-average lease term of our in-place leases based on square feet, including leases signed by our unconsolidated joint ventures, was approximately 7.9 years at December 31, 2022, and we continue to cultivate long-term leasing relationships with a diverse base of high-quality, financially stable clients. Based on leases in place at December 31, 2022, leases with respect to approximately 5.1% of the total square feet in our portfolio, including unconsolidated joint ventures, will expire in calendar year 2023.</w:t>
      </w:r>
    </w:p>
    <w:p>
      <w:pPr>
        <w:spacing w:after="0" w:line="121" w:lineRule="exact"/>
        <w:rPr>
          <w:rFonts w:ascii="Arial" w:cs="Arial" w:eastAsia="Arial" w:hAnsi="Arial"/>
          <w:sz w:val="16"/>
          <w:szCs w:val="16"/>
          <w:color w:val="auto"/>
        </w:rPr>
      </w:pPr>
    </w:p>
    <w:p>
      <w:pPr>
        <w:ind w:left="640" w:right="80" w:hanging="290"/>
        <w:spacing w:after="0" w:line="254"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Directly manage our office properties to maximize the potential for client retention. </w:t>
      </w:r>
      <w:r>
        <w:rPr>
          <w:rFonts w:ascii="Arial" w:cs="Arial" w:eastAsia="Arial" w:hAnsi="Arial"/>
          <w:sz w:val="16"/>
          <w:szCs w:val="16"/>
          <w:color w:val="auto"/>
        </w:rPr>
        <w:t>We provide property management services ourselves,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contracting for this service, to maintain awareness of and responsiveness to client needs. We and our properties also benefit from cost efficiencies produced by an experienced work force attentive to preventive maintenance and energy management and from our continuing programs to assure that our property management personnel at all levels remain aware of their important role in client relations. In addition, we reinvest in our properties by adding new services and amenities that are desirable to our clients.</w:t>
      </w:r>
    </w:p>
    <w:p>
      <w:pPr>
        <w:spacing w:after="0" w:line="116" w:lineRule="exact"/>
        <w:rPr>
          <w:rFonts w:ascii="Arial" w:cs="Arial" w:eastAsia="Arial" w:hAnsi="Arial"/>
          <w:sz w:val="16"/>
          <w:szCs w:val="16"/>
          <w:color w:val="auto"/>
        </w:rPr>
      </w:pPr>
    </w:p>
    <w:p>
      <w:pPr>
        <w:ind w:left="640" w:right="440" w:hanging="290"/>
        <w:spacing w:after="0" w:line="256" w:lineRule="auto"/>
        <w:tabs>
          <w:tab w:leader="none" w:pos="636"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Replace clients quickly at best available market terms and lowest possible transaction costs</w:t>
      </w:r>
      <w:r>
        <w:rPr>
          <w:rFonts w:ascii="Arial" w:cs="Arial" w:eastAsia="Arial" w:hAnsi="Arial"/>
          <w:sz w:val="16"/>
          <w:szCs w:val="16"/>
          <w:color w:val="auto"/>
        </w:rPr>
        <w:t>. We believe that we are well-positioned to attract new</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and achieve relatively high rental and occupancy rates as a result of our well-located, well-designed and well-maintained properties, our reputation for high-quality building services and responsiveness to clients, and our ability to offer expansion and relocation alternatives within our submarkets.</w:t>
      </w:r>
    </w:p>
    <w:p>
      <w:pPr>
        <w:spacing w:after="0" w:line="115" w:lineRule="exact"/>
        <w:rPr>
          <w:rFonts w:ascii="Arial" w:cs="Arial" w:eastAsia="Arial" w:hAnsi="Arial"/>
          <w:sz w:val="16"/>
          <w:szCs w:val="16"/>
          <w:i w:val="1"/>
          <w:iCs w:val="1"/>
          <w:color w:val="auto"/>
        </w:rPr>
      </w:pPr>
    </w:p>
    <w:p>
      <w:pPr>
        <w:ind w:left="640" w:hanging="290"/>
        <w:spacing w:after="0" w:line="261"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Extend terms of existing leases to existing clients prior to expiration</w:t>
      </w:r>
      <w:r>
        <w:rPr>
          <w:rFonts w:ascii="Arial" w:cs="Arial" w:eastAsia="Arial" w:hAnsi="Arial"/>
          <w:sz w:val="16"/>
          <w:szCs w:val="16"/>
          <w:color w:val="auto"/>
        </w:rPr>
        <w:t>. We have also successfully structured early client renewals, which have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associated with lease downtime while securing the tenancy of our highest quality credit-worthy clients on a long-term basis and enhancing relationships.</w:t>
      </w:r>
    </w:p>
    <w:p>
      <w:pPr>
        <w:spacing w:after="0" w:line="110" w:lineRule="exact"/>
        <w:rPr>
          <w:rFonts w:ascii="Arial" w:cs="Arial" w:eastAsia="Arial" w:hAnsi="Arial"/>
          <w:sz w:val="16"/>
          <w:szCs w:val="16"/>
          <w:color w:val="auto"/>
        </w:rPr>
      </w:pPr>
    </w:p>
    <w:p>
      <w:pPr>
        <w:ind w:left="640" w:right="180" w:hanging="290"/>
        <w:spacing w:after="0" w:line="252"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Re-development of existing assets. </w:t>
      </w:r>
      <w:r>
        <w:rPr>
          <w:rFonts w:ascii="Arial" w:cs="Arial" w:eastAsia="Arial" w:hAnsi="Arial"/>
          <w:sz w:val="16"/>
          <w:szCs w:val="16"/>
          <w:color w:val="auto"/>
        </w:rPr>
        <w:t>We believe the select re-development of assets within our portfolio, where through the ability to increase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size and/or to increase cash flow and generate appropriate returns on incremental investment after consideration of the asset’s current and future cash flows, may be desirable. This generally occurs in situations in which we are able to increase the building’s size, improve building systems, including conversion to higher yielding life sciences uses, and sustainability features, and/or add client amenities, thereby increasing client demand, generating acceptable returns on incremental investment and enhancing the long-term value of the property and the company. In the past, we have been particularly successful at gaining local government approval for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line="249" w:lineRule="auto"/>
        <w:rPr>
          <w:sz w:val="20"/>
          <w:szCs w:val="20"/>
          <w:color w:val="auto"/>
        </w:rPr>
      </w:pPr>
      <w:r>
        <w:rPr>
          <w:rFonts w:ascii="Arial" w:cs="Arial" w:eastAsia="Arial" w:hAnsi="Arial"/>
          <w:sz w:val="16"/>
          <w:szCs w:val="16"/>
          <w:color w:val="auto"/>
        </w:rPr>
        <w:t>increased density at several of our assets, providing the opportunity to enhance value at a particular location. Our strong regional relationships and recognized re-development expertise have enabled us to capitalize on unique build-to-suit opportunities. We intend to seek and expect to continue to be presented with such opportunities in the near term allowing us to earn attractive returns on these development opportunities through multiple business cycles.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Our Strategy</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actively work to promote our growth and operations in a sustainable and responsible manner across our six regions. The BXP ESG strategy is to conduct our business, the development, ownership and operation of new and existing buildings, in a manner that contributes to positive economic, social and environmental outcomes for our clients, shareholders, employees and the communities we serve. Our investment philosophy is shaped by our core strategy of long-term ownership and our commitment to our communities and the centers of commerce and civic life that make them thrive. We are focused on developing and maintaining healthy, high-performance buildings, while simultaneously mitigating operational costs and the potential external impacts of energy, water, waste, greenhouse gas (“GHG”) emissions and climate change. Positive social impact is also of great importance to BXP and our employees, which is exhibited by our commitments to charitable giving, volunteerism, public realm investments and promoting diversity, equity and inclusion in the workplace and our communities. Through these efforts, we demonstrate that operating and developing commercial real estate can be conducted with a conscious regard for the environment and broader society while mutually benefiting our stakeholders.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ESG Leadership</w:t>
      </w:r>
    </w:p>
    <w:p>
      <w:pPr>
        <w:spacing w:after="0" w:line="93" w:lineRule="exact"/>
        <w:rPr>
          <w:sz w:val="20"/>
          <w:szCs w:val="20"/>
          <w:color w:val="auto"/>
        </w:rPr>
      </w:pPr>
    </w:p>
    <w:p>
      <w:pPr>
        <w:ind w:right="60" w:firstLine="391"/>
        <w:spacing w:after="0" w:line="253" w:lineRule="auto"/>
        <w:rPr>
          <w:sz w:val="20"/>
          <w:szCs w:val="20"/>
          <w:color w:val="auto"/>
        </w:rPr>
      </w:pPr>
      <w:r>
        <w:rPr>
          <w:rFonts w:ascii="Arial" w:cs="Arial" w:eastAsia="Arial" w:hAnsi="Arial"/>
          <w:sz w:val="16"/>
          <w:szCs w:val="16"/>
          <w:color w:val="auto"/>
        </w:rPr>
        <w:t>We continue to address the needs of our stakeholders by making efforts to maintain and improve our ESG performance across three pillars: climate action, climate resilience and social good. BXP is a widely recognized industry leader in ESG. 2022 ESG highlights include:</w:t>
      </w:r>
    </w:p>
    <w:p>
      <w:pPr>
        <w:spacing w:after="0" w:line="122" w:lineRule="exact"/>
        <w:rPr>
          <w:sz w:val="20"/>
          <w:szCs w:val="20"/>
          <w:color w:val="auto"/>
        </w:rPr>
      </w:pPr>
    </w:p>
    <w:p>
      <w:pPr>
        <w:ind w:left="560" w:right="480" w:hanging="281"/>
        <w:spacing w:after="0" w:line="253"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BXP ranked among the top real estate companies in the GRESB assessment, earning a seventh consecutive 5-Star rating. 2022 was the eleventh consecutive year that BXP earned the GRESB “Green Star” designation</w:t>
      </w:r>
    </w:p>
    <w:p>
      <w:pPr>
        <w:spacing w:after="0" w:line="121" w:lineRule="exact"/>
        <w:rPr>
          <w:rFonts w:ascii="Arial" w:cs="Arial" w:eastAsia="Arial" w:hAnsi="Arial"/>
          <w:sz w:val="16"/>
          <w:szCs w:val="16"/>
          <w:color w:val="auto"/>
        </w:rPr>
      </w:pPr>
    </w:p>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BXP’s MSCI rating improved from an A to AA, and CDP score improved from C to B</w:t>
      </w:r>
    </w:p>
    <w:p>
      <w:pPr>
        <w:spacing w:after="0" w:line="108" w:lineRule="exact"/>
        <w:rPr>
          <w:rFonts w:ascii="Arial" w:cs="Arial" w:eastAsia="Arial" w:hAnsi="Arial"/>
          <w:sz w:val="16"/>
          <w:szCs w:val="16"/>
          <w:color w:val="auto"/>
        </w:rPr>
      </w:pPr>
    </w:p>
    <w:p>
      <w:pPr>
        <w:ind w:left="560" w:right="420" w:hanging="281"/>
        <w:spacing w:after="0" w:line="309" w:lineRule="auto"/>
        <w:tabs>
          <w:tab w:leader="none" w:pos="5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BXP was named to </w:t>
      </w:r>
      <w:r>
        <w:rPr>
          <w:rFonts w:ascii="Arial" w:cs="Arial" w:eastAsia="Arial" w:hAnsi="Arial"/>
          <w:sz w:val="15"/>
          <w:szCs w:val="15"/>
          <w:i w:val="1"/>
          <w:iCs w:val="1"/>
          <w:color w:val="auto"/>
        </w:rPr>
        <w:t>Newsweek’s</w:t>
      </w:r>
      <w:r>
        <w:rPr>
          <w:rFonts w:ascii="Arial" w:cs="Arial" w:eastAsia="Arial" w:hAnsi="Arial"/>
          <w:sz w:val="15"/>
          <w:szCs w:val="15"/>
          <w:color w:val="auto"/>
        </w:rPr>
        <w:t xml:space="preserve"> List of America’s Most Responsible Companies in 2023 for the third consecutive year. BXP ranked first in the Real Estate &amp; Housing industry with an increased ranking of 29th overall out of the 500 companies and received the third highest environmental score</w:t>
      </w:r>
    </w:p>
    <w:p>
      <w:pPr>
        <w:spacing w:after="0" w:line="81" w:lineRule="exact"/>
        <w:rPr>
          <w:rFonts w:ascii="Arial" w:cs="Arial" w:eastAsia="Arial" w:hAnsi="Arial"/>
          <w:sz w:val="15"/>
          <w:szCs w:val="15"/>
          <w:color w:val="auto"/>
        </w:rPr>
      </w:pPr>
    </w:p>
    <w:p>
      <w:pPr>
        <w:jc w:val="both"/>
        <w:ind w:left="560" w:right="660" w:hanging="281"/>
        <w:spacing w:after="0" w:line="286" w:lineRule="auto"/>
        <w:tabs>
          <w:tab w:leader="none" w:pos="5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BXP was named to the Dow Jones Sustainability Index (DJSI) North America for the second consecutive year. BXP was one of eight real estate companies that qualified and the only office REIT in the index, scoring in the 95th percentile of the real estate companies assessed for inclusion</w:t>
      </w:r>
    </w:p>
    <w:p>
      <w:pPr>
        <w:spacing w:after="0" w:line="98" w:lineRule="exact"/>
        <w:rPr>
          <w:rFonts w:ascii="Arial" w:cs="Arial" w:eastAsia="Arial" w:hAnsi="Arial"/>
          <w:sz w:val="15"/>
          <w:szCs w:val="15"/>
          <w:color w:val="auto"/>
        </w:rPr>
      </w:pPr>
    </w:p>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BXP was recognized by Commercial Property Executive for having the “Best ESG Program”</w:t>
      </w:r>
    </w:p>
    <w:p>
      <w:pPr>
        <w:spacing w:after="0" w:line="124" w:lineRule="exact"/>
        <w:rPr>
          <w:rFonts w:ascii="Arial" w:cs="Arial" w:eastAsia="Arial" w:hAnsi="Arial"/>
          <w:sz w:val="16"/>
          <w:szCs w:val="16"/>
          <w:color w:val="auto"/>
        </w:rPr>
      </w:pPr>
    </w:p>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BXP was the recipient of Nareit’s prestigious Leader in the Light Award</w:t>
      </w:r>
    </w:p>
    <w:p>
      <w:pPr>
        <w:spacing w:after="0" w:line="135" w:lineRule="exact"/>
        <w:rPr>
          <w:rFonts w:ascii="Arial" w:cs="Arial" w:eastAsia="Arial" w:hAnsi="Arial"/>
          <w:sz w:val="16"/>
          <w:szCs w:val="16"/>
          <w:color w:val="auto"/>
        </w:rPr>
      </w:pPr>
    </w:p>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BXP was named an ENERGY STAR Partner of the Year – Sustained Excellence Award Winner</w:t>
      </w:r>
    </w:p>
    <w:p>
      <w:pPr>
        <w:spacing w:after="0" w:line="135" w:lineRule="exact"/>
        <w:rPr>
          <w:rFonts w:ascii="Arial" w:cs="Arial" w:eastAsia="Arial" w:hAnsi="Arial"/>
          <w:sz w:val="16"/>
          <w:szCs w:val="16"/>
          <w:color w:val="auto"/>
        </w:rPr>
      </w:pPr>
    </w:p>
    <w:p>
      <w:pPr>
        <w:ind w:left="560" w:hanging="281"/>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BXP was recognized as an inaugural Platinum Level Green Lease Leader by the Institute for Market Transformation and the U.S. Department of Energy</w:t>
      </w:r>
    </w:p>
    <w:p>
      <w:pPr>
        <w:spacing w:after="0" w:line="159"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Our leadership position is due, in part, to our establishment of environmental goals, the periodic reporting of progress towards our goals and the achievement of these goals. We have publicly adopted energy, emissions, water and waste goals that establish reduction targets aligned with the United Nations Sustainable Development Goals. As of the end of 2021, the combined impacts of efficiency measures, renewable energy and reduced physical occupancy due to the COVID-19 pandemic resulted in a 41% decrease in energy use intensity and over 70% reduction in Scope 1 and Scope 2 GHG emissions intensity below a 2008 base year. We have also aligned our emissions reduction targets with climate science and in 2020 became the first North American office REIT to establish an emissions reduction target ambition in line with a 1.5°C trajectory, the most ambitious designation available at the time of submission under the Science Based Targets initiative. In April 2021, we affirmed our commitment to achieving carbon-neutral operations (for direct and indirect Scope 1 and Scope 2 GHG emissions) by 2025 from our occupied and actively managed buildings where we have operational control.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We are focused on developing, owning and operating healthy and high-performance buildings. BXP is a corporate member of the U.S. Green Building Council® (“USGBC”) and has a long history of green buildings under USGBC’s Leadership in Energy and Environmental Design™ (LEED®) rating system. As of December 31, 2022, we have LEED-certified 33.5 million square feet of our total in-service portfolio, of which 94% is certified at the highest Gold and Platinum levels. In 2018, we announced a partnership with a leading healthy building certification system, Fitwel, to support healthy building design and operational practices across our portfolio, becoming a Fitwel Champion. We completed our Fitwel Champion commitments and have added 23.8 million square feet of Fitwel certified buildings across our total in-service portfolio since 2018. In response to the COVID-19 pandemic, we completed the Fitwel Viral Response Module Enterprise and Asset-level Certification at all actively managed buildings.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Sustainability Accounting Standards Board (“SASB”) Disclosures</w:t>
      </w:r>
    </w:p>
    <w:p>
      <w:pPr>
        <w:spacing w:after="0" w:line="93"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The Real Estate Sustainability Accounting Standard issued by SASB in 2018 proposed sustainability accounting metrics designed for disclosure in mandatory filings, such as the Annual Report on Form 10-K, and serves as the framework against which we have aligned our disclosures for sustainability information. The recommended energy and water management activity metrics for the real estate industry include energy consumption data coverage as a percentage of floor area (“Energy Intensity”); percentage of the eligible portfolio that is certified ENERGY STAR® (“ENERGY STAR certified”); total energy consumed by portfolio area (“Total Energy Consumption”); water withdrawal as a percentage of total floor area (“Water Intensity”); and total water withdrawn by portfolio area (“Total Water Consumption”). Our energy and water data is collected from utility bills and submeters and is assured by an independent, third party assurance expert, which includes all SASB 2021 energy and water metrics. For more information on the independent, third-party assurance expert and the methodology used to assure the data, refer to “</w:t>
      </w:r>
      <w:r>
        <w:rPr>
          <w:rFonts w:ascii="Arial" w:cs="Arial" w:eastAsia="Arial" w:hAnsi="Arial"/>
          <w:sz w:val="16"/>
          <w:szCs w:val="16"/>
          <w:i w:val="1"/>
          <w:iCs w:val="1"/>
          <w:color w:val="auto"/>
        </w:rPr>
        <w:t>Reporting</w:t>
      </w:r>
      <w:r>
        <w:rPr>
          <w:rFonts w:ascii="Arial" w:cs="Arial" w:eastAsia="Arial" w:hAnsi="Arial"/>
          <w:sz w:val="16"/>
          <w:szCs w:val="16"/>
          <w:color w:val="auto"/>
        </w:rPr>
        <w:t>” below. During the 2021 calendar year, 46 buildings representing 43% of our eligible portfolio were ENERGY STAR certified. A licensed professional has verified all ENERGY STAR applications.</w:t>
      </w:r>
    </w:p>
    <w:p>
      <w:pPr>
        <w:spacing w:after="0" w:line="138" w:lineRule="exact"/>
        <w:rPr>
          <w:sz w:val="20"/>
          <w:szCs w:val="20"/>
          <w:color w:val="auto"/>
        </w:rPr>
      </w:pPr>
    </w:p>
    <w:p>
      <w:pPr>
        <w:ind w:right="300" w:firstLine="391"/>
        <w:spacing w:after="0" w:line="282" w:lineRule="auto"/>
        <w:rPr>
          <w:sz w:val="20"/>
          <w:szCs w:val="20"/>
          <w:color w:val="auto"/>
        </w:rPr>
      </w:pPr>
      <w:r>
        <w:rPr>
          <w:rFonts w:ascii="Arial" w:cs="Arial" w:eastAsia="Arial" w:hAnsi="Arial"/>
          <w:sz w:val="16"/>
          <w:szCs w:val="16"/>
          <w:color w:val="auto"/>
        </w:rPr>
        <w:t>The charts below detail our Energy Intensity, Total Energy Consumption, Water Intensity and Total Water Consumption for 2015 through 2021 for which data were available on occupied and actively managed buildings where we had operational control.</w:t>
      </w:r>
      <w:r>
        <w:rPr>
          <w:rFonts w:ascii="Arial" w:cs="Arial" w:eastAsia="Arial" w:hAnsi="Arial"/>
          <w:sz w:val="20"/>
          <w:szCs w:val="20"/>
          <w:color w:val="auto"/>
          <w:vertAlign w:val="superscript"/>
        </w:rPr>
        <w:t>1,2,3,4,5,6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22860</wp:posOffset>
            </wp:positionV>
            <wp:extent cx="4966970" cy="1821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66970"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60" w:right="240" w:hanging="287"/>
        <w:spacing w:after="0" w:line="256" w:lineRule="auto"/>
        <w:tabs>
          <w:tab w:leader="none" w:pos="4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Full 2022 calendar year energy and water data will not be available and assured by a third party until March 31, 2023. Therefore, 2021 is the most recent year for which complete and third-party assured energy and water data is available.</w:t>
      </w:r>
    </w:p>
    <w:p>
      <w:pPr>
        <w:ind w:left="460" w:hanging="287"/>
        <w:spacing w:after="0" w:line="251" w:lineRule="auto"/>
        <w:tabs>
          <w:tab w:leader="none" w:pos="4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charts reflect the performance of our occupied and actively managed portfolio in Boston, Los Angeles, New York, San Francisco, Seattle and Washington, DC. We define “occupied buildings” as those with no more than 50% vacancy. Actively managed buildings are those where we have operational control of building system performance and investment decisions. At the end of the 2021 calendar year, our occupied and actively managed portfolio included 116 buildings totaling 44.8 million gross square feet, which accounted for approximately 85% of BXP’s total in-service portfolio by area.</w:t>
      </w:r>
    </w:p>
    <w:p>
      <w:pPr>
        <w:spacing w:after="0" w:line="2" w:lineRule="exact"/>
        <w:rPr>
          <w:rFonts w:ascii="Arial" w:cs="Arial" w:eastAsia="Arial" w:hAnsi="Arial"/>
          <w:sz w:val="14"/>
          <w:szCs w:val="14"/>
          <w:color w:val="auto"/>
        </w:rPr>
      </w:pPr>
    </w:p>
    <w:p>
      <w:pPr>
        <w:ind w:left="460" w:right="40" w:hanging="287"/>
        <w:spacing w:after="0" w:line="256" w:lineRule="auto"/>
        <w:tabs>
          <w:tab w:leader="none" w:pos="4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Floor area is considered to have complete energy consumption data coverage when we obtain energy consumption data (i.e., energy types and amounts consumed) for all types of energy consumed in the relevant floor area during the calendar year, regardless of when such data was obtained.</w:t>
      </w:r>
    </w:p>
    <w:p>
      <w:pPr>
        <w:ind w:left="460" w:right="240" w:hanging="287"/>
        <w:spacing w:after="0" w:line="261" w:lineRule="auto"/>
        <w:tabs>
          <w:tab w:leader="none" w:pos="4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scope of energy includes energy purchased from sources external to us and our clients or produced by us or our clients and energy from all sources, including fuel, gas, electricity and steam. Energy use intensity (kBtu/SF) has been weather normalized.</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460" w:right="380" w:hanging="287"/>
        <w:spacing w:after="0" w:line="256" w:lineRule="auto"/>
        <w:tabs>
          <w:tab w:leader="none" w:pos="4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Water sources include surface water (including water from wetlands, rivers, lakes and oceans), groundwater, rainwater collected directly and stored by BXP, municipal water supplies or supply from other water utilities.</w:t>
      </w:r>
    </w:p>
    <w:p>
      <w:pPr>
        <w:ind w:left="460" w:hanging="287"/>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2020 and 2021 data reflect the combined impacts of efficiency measures, renewable energy and reduced physical occupancy due to the COVID-19 pandemic.</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Climate Resilience</w:t>
      </w:r>
    </w:p>
    <w:p>
      <w:pPr>
        <w:spacing w:after="0" w:line="93"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As a long-term owner and active manager of real estate assets in operation and under development, we take a long-term view on climate change risks and opportunities. We are focused on understanding how climate change may impact the performance of our portfolio and the steps we can take to increase climate resilience. We continue to evaluate the potential risks associated with climate change that could impact our portfolio and are taking proactive steps to plan for and/or mitigate such risks.</w:t>
      </w:r>
    </w:p>
    <w:p>
      <w:pPr>
        <w:spacing w:after="0" w:line="137" w:lineRule="exact"/>
        <w:rPr>
          <w:sz w:val="20"/>
          <w:szCs w:val="20"/>
          <w:color w:val="auto"/>
        </w:rPr>
      </w:pPr>
    </w:p>
    <w:p>
      <w:pPr>
        <w:ind w:left="580" w:hanging="301"/>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Governance</w:t>
      </w:r>
    </w:p>
    <w:p>
      <w:pPr>
        <w:spacing w:after="0" w:line="89" w:lineRule="exact"/>
        <w:rPr>
          <w:sz w:val="20"/>
          <w:szCs w:val="20"/>
          <w:color w:val="auto"/>
        </w:rPr>
      </w:pPr>
    </w:p>
    <w:p>
      <w:pPr>
        <w:ind w:left="360" w:right="20" w:firstLine="391"/>
        <w:spacing w:after="0" w:line="248" w:lineRule="auto"/>
        <w:rPr>
          <w:sz w:val="20"/>
          <w:szCs w:val="20"/>
          <w:color w:val="auto"/>
        </w:rPr>
      </w:pPr>
      <w:r>
        <w:rPr>
          <w:rFonts w:ascii="Arial" w:cs="Arial" w:eastAsia="Arial" w:hAnsi="Arial"/>
          <w:sz w:val="16"/>
          <w:szCs w:val="16"/>
          <w:color w:val="auto"/>
        </w:rPr>
        <w:t>As a vertically integrated, full-service real estate company, we are engaged in addressing climate-related issues at all levels of our organization. Management’s role in overseeing, assessing and managing climate-related risks, opportunities and initiatives is spread across multiple teams throughout our organization, including our Board of Directors, executive leadership and our Sustainability, Risk Management, Development, Construction and Property Management Departments. BXP has a dedicated team of sustainability professionals focused on ESG issues that coordinate and collaborate across corporate and regional teams to advance environmental sustainability issues and initiatives. Our Board of Directors has established a board-level Sustainability Committee to, among other things, increase Board oversight over environmental and sustainability issues, including climate-related risks and opportunities. The Board delegated to the Sustainability Committee its responsibility to oversee BXP’s sustainability program, which includes monitoring and addressing, as needed, environmental-, sustainability- and climate-related risks.</w:t>
      </w:r>
    </w:p>
    <w:p>
      <w:pPr>
        <w:spacing w:after="0" w:line="138" w:lineRule="exact"/>
        <w:rPr>
          <w:sz w:val="20"/>
          <w:szCs w:val="20"/>
          <w:color w:val="auto"/>
        </w:rPr>
      </w:pPr>
    </w:p>
    <w:p>
      <w:pPr>
        <w:ind w:left="360" w:right="100" w:firstLine="391"/>
        <w:spacing w:after="0" w:line="249" w:lineRule="auto"/>
        <w:rPr>
          <w:sz w:val="20"/>
          <w:szCs w:val="20"/>
          <w:color w:val="auto"/>
        </w:rPr>
      </w:pPr>
      <w:r>
        <w:rPr>
          <w:rFonts w:ascii="Arial" w:cs="Arial" w:eastAsia="Arial" w:hAnsi="Arial"/>
          <w:sz w:val="16"/>
          <w:szCs w:val="16"/>
          <w:color w:val="auto"/>
        </w:rPr>
        <w:t>Our approach to climate-related issues is also informed by robust stakeholder engagement. We are in frequent dialogue with investors, customers, community members, governmental policymakers, consultants and other non-governmental organizations. We are heavily involved in industry associations and participate in conferences and workshops covering ESG, sustainability and climate resilience topics. Through these engagements, we enhance our knowledge of climate-related issues and those issues that are most important to our stakeholders and industry best practices.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Ø Strategy</w:t>
      </w:r>
    </w:p>
    <w:p>
      <w:pPr>
        <w:spacing w:after="0" w:line="89" w:lineRule="exact"/>
        <w:rPr>
          <w:sz w:val="20"/>
          <w:szCs w:val="20"/>
          <w:color w:val="auto"/>
        </w:rPr>
      </w:pPr>
    </w:p>
    <w:p>
      <w:pPr>
        <w:ind w:left="360" w:right="40" w:firstLine="391"/>
        <w:spacing w:after="0" w:line="248" w:lineRule="auto"/>
        <w:rPr>
          <w:sz w:val="20"/>
          <w:szCs w:val="20"/>
          <w:color w:val="auto"/>
        </w:rPr>
      </w:pPr>
      <w:r>
        <w:rPr>
          <w:rFonts w:ascii="Arial" w:cs="Arial" w:eastAsia="Arial" w:hAnsi="Arial"/>
          <w:sz w:val="16"/>
          <w:szCs w:val="16"/>
          <w:color w:val="auto"/>
        </w:rPr>
        <w:t>We have aligned our climate-related disclosures with the recommendations of the Task Force on Climate-Related Financial Disclosures (“TCFD”). The TCFD framework has informed the development of our strategy for identifying and managing both physical and transition risks associated with climate change. As defined by the TCFD framework, physical risks associated with climate change include acute risks (extreme weather-related events) and chronic risks (such as extreme heat and sea-level rise), and transition risks associated with climate change include policy and legal risks, and other technology, market and reputation-related risks.</w:t>
      </w:r>
    </w:p>
    <w:p>
      <w:pPr>
        <w:spacing w:after="0" w:line="140" w:lineRule="exact"/>
        <w:rPr>
          <w:sz w:val="20"/>
          <w:szCs w:val="20"/>
          <w:color w:val="auto"/>
        </w:rPr>
      </w:pPr>
    </w:p>
    <w:p>
      <w:pPr>
        <w:ind w:left="360" w:firstLine="391"/>
        <w:spacing w:after="0" w:line="267" w:lineRule="auto"/>
        <w:rPr>
          <w:sz w:val="20"/>
          <w:szCs w:val="20"/>
          <w:color w:val="auto"/>
        </w:rPr>
      </w:pPr>
      <w:r>
        <w:rPr>
          <w:rFonts w:ascii="Arial" w:cs="Arial" w:eastAsia="Arial" w:hAnsi="Arial"/>
          <w:sz w:val="15"/>
          <w:szCs w:val="15"/>
          <w:color w:val="auto"/>
        </w:rPr>
        <w:t>We continue to proactively assess the potential risks that may impact the properties in our portfolio, gather information and monitor the evolving regulatory landscape related to climate change. Our process for assessing climate-related risks and their implications on our properties and business includes a climate change scenario analyses that was conducted in 2021 on our portfolio assets. In particular, we engaged Moody’s ESG Solutions (formerly branded as Four Twenty Seven Application), an independent provider of science-driven insights and analytics on climate risk, for its climate risk scoring to evaluate the forward-looking physical climate risk exposure of our entire portfolio. The scenario analysis and physical risk scoring was based on an RCP 8.5 emissions scenario, which is a worst-case, high emissions scenario, under a time horizon up to 2040. The scenario analysis included all in-service assets owned by BXP and included climate events such as hurricane, wildfire, heat, water stress, flooding and sea-level rise. We are also using Moody’s ESG Solutions data to identify potential risks during the new acquisition diligence process. The analysis of our portfolio yielded no material findings.</w:t>
      </w:r>
    </w:p>
    <w:p>
      <w:pPr>
        <w:spacing w:after="0" w:line="124" w:lineRule="exact"/>
        <w:rPr>
          <w:sz w:val="20"/>
          <w:szCs w:val="20"/>
          <w:color w:val="auto"/>
        </w:rPr>
      </w:pPr>
    </w:p>
    <w:p>
      <w:pPr>
        <w:ind w:left="360" w:right="40" w:firstLine="391"/>
        <w:spacing w:after="0" w:line="248" w:lineRule="auto"/>
        <w:rPr>
          <w:sz w:val="20"/>
          <w:szCs w:val="20"/>
          <w:color w:val="auto"/>
        </w:rPr>
      </w:pPr>
      <w:r>
        <w:rPr>
          <w:rFonts w:ascii="Arial" w:cs="Arial" w:eastAsia="Arial" w:hAnsi="Arial"/>
          <w:sz w:val="16"/>
          <w:szCs w:val="16"/>
          <w:color w:val="auto"/>
        </w:rPr>
        <w:t>We consider climate-related risks and opportunities in the context of the following time horizons: short-term (1-2 years), medium-term (3-10 years) and long-term (&gt;10 years). Based on the foregoing process for evaluating climate-related risks, including the scenario analysis, we have identified (1) the following potential physical and transition risks associated with climate change that could impact our portfolio in the future across the stated time horizons and (2) our climate-related opportunities. We will continue to analyze the results of the Moody’s ESG Solutions analysis and the following risks and opportunities to understand our potential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exposure and inform our climate resilience strategy and future investments, which include climate-related risk mitigation and initiatives.</w:t>
      </w:r>
    </w:p>
    <w:p>
      <w:pPr>
        <w:spacing w:after="0" w:line="172" w:lineRule="exact"/>
        <w:rPr>
          <w:sz w:val="20"/>
          <w:szCs w:val="20"/>
          <w:color w:val="auto"/>
        </w:rPr>
      </w:pPr>
    </w:p>
    <w:tbl>
      <w:tblPr>
        <w:tblLayout w:type="fixed"/>
        <w:tblInd w:w="370" w:type="dxa"/>
        <w:tblCellMar>
          <w:top w:w="0" w:type="dxa"/>
          <w:left w:w="0" w:type="dxa"/>
          <w:bottom w:w="0" w:type="dxa"/>
          <w:right w:w="0" w:type="dxa"/>
        </w:tblCellMar>
      </w:tblPr>
      <w:tr>
        <w:trPr>
          <w:trHeight w:val="225"/>
        </w:trPr>
        <w:tc>
          <w:tcPr>
            <w:tcW w:w="4080" w:type="dxa"/>
            <w:vAlign w:val="bottom"/>
            <w:tcBorders>
              <w:left w:val="single" w:sz="8" w:color="4F81BD"/>
              <w:right w:val="single" w:sz="8" w:color="4F81BD"/>
            </w:tcBorders>
            <w:shd w:val="clear" w:color="auto" w:fill="4F81BD"/>
          </w:tcPr>
          <w:p>
            <w:pPr>
              <w:ind w:left="1620"/>
              <w:spacing w:after="0"/>
              <w:rPr>
                <w:sz w:val="20"/>
                <w:szCs w:val="20"/>
                <w:color w:val="auto"/>
              </w:rPr>
            </w:pPr>
            <w:r>
              <w:rPr>
                <w:rFonts w:ascii="Arial" w:cs="Arial" w:eastAsia="Arial" w:hAnsi="Arial"/>
                <w:sz w:val="14"/>
                <w:szCs w:val="14"/>
                <w:b w:val="1"/>
                <w:bCs w:val="1"/>
                <w:color w:val="FFFFFF"/>
              </w:rPr>
              <w:t>Time Period</w:t>
            </w:r>
          </w:p>
        </w:tc>
        <w:tc>
          <w:tcPr>
            <w:tcW w:w="684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4"/>
                <w:szCs w:val="14"/>
                <w:b w:val="1"/>
                <w:bCs w:val="1"/>
                <w:color w:val="FFFFFF"/>
              </w:rPr>
              <w:t>Physical Risks</w:t>
            </w:r>
          </w:p>
        </w:tc>
        <w:tc>
          <w:tcPr>
            <w:tcW w:w="0" w:type="dxa"/>
            <w:vAlign w:val="bottom"/>
          </w:tcPr>
          <w:p>
            <w:pPr>
              <w:spacing w:after="0"/>
              <w:rPr>
                <w:sz w:val="1"/>
                <w:szCs w:val="1"/>
                <w:color w:val="auto"/>
              </w:rPr>
            </w:pPr>
          </w:p>
        </w:tc>
      </w:tr>
      <w:tr>
        <w:trPr>
          <w:trHeight w:val="191"/>
        </w:trPr>
        <w:tc>
          <w:tcPr>
            <w:tcW w:w="4080" w:type="dxa"/>
            <w:vAlign w:val="bottom"/>
            <w:tcBorders>
              <w:left w:val="single" w:sz="8" w:color="4F81BD"/>
              <w:right w:val="single" w:sz="8" w:color="4F81BD"/>
            </w:tcBorders>
            <w:shd w:val="clear" w:color="auto" w:fill="DBE5F1"/>
          </w:tcPr>
          <w:p>
            <w:pPr>
              <w:ind w:left="20"/>
              <w:spacing w:after="0"/>
              <w:rPr>
                <w:sz w:val="20"/>
                <w:szCs w:val="20"/>
                <w:color w:val="auto"/>
              </w:rPr>
            </w:pPr>
            <w:r>
              <w:rPr>
                <w:rFonts w:ascii="Arial" w:cs="Arial" w:eastAsia="Arial" w:hAnsi="Arial"/>
                <w:sz w:val="14"/>
                <w:szCs w:val="14"/>
                <w:color w:val="auto"/>
              </w:rPr>
              <w:t>Short- to Medium-Term</w:t>
            </w: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Increased severity of extreme weather events, including flooding and wind damage, extreme heat and sea-</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level rise may cause one or more of the following to occur:</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shd w:val="clear" w:color="auto" w:fill="DBE5F1"/>
          </w:tcPr>
          <w:p>
            <w:pPr>
              <w:spacing w:after="0"/>
              <w:rPr>
                <w:sz w:val="21"/>
                <w:szCs w:val="21"/>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Direct damage to properties</w:t>
            </w:r>
          </w:p>
        </w:tc>
        <w:tc>
          <w:tcPr>
            <w:tcW w:w="0" w:type="dxa"/>
            <w:vAlign w:val="bottom"/>
          </w:tcPr>
          <w:p>
            <w:pPr>
              <w:spacing w:after="0"/>
              <w:rPr>
                <w:sz w:val="1"/>
                <w:szCs w:val="1"/>
                <w:color w:val="auto"/>
              </w:rPr>
            </w:pPr>
          </w:p>
        </w:tc>
      </w:tr>
      <w:tr>
        <w:trPr>
          <w:trHeight w:val="225"/>
        </w:trPr>
        <w:tc>
          <w:tcPr>
            <w:tcW w:w="4080" w:type="dxa"/>
            <w:vAlign w:val="bottom"/>
            <w:tcBorders>
              <w:left w:val="single" w:sz="8" w:color="4F81BD"/>
              <w:right w:val="single" w:sz="8" w:color="4F81BD"/>
            </w:tcBorders>
            <w:shd w:val="clear" w:color="auto" w:fill="DBE5F1"/>
          </w:tcPr>
          <w:p>
            <w:pPr>
              <w:spacing w:after="0"/>
              <w:rPr>
                <w:sz w:val="19"/>
                <w:szCs w:val="19"/>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Increased costs of property insurance</w:t>
            </w:r>
          </w:p>
        </w:tc>
        <w:tc>
          <w:tcPr>
            <w:tcW w:w="0" w:type="dxa"/>
            <w:vAlign w:val="bottom"/>
          </w:tcPr>
          <w:p>
            <w:pPr>
              <w:spacing w:after="0"/>
              <w:rPr>
                <w:sz w:val="1"/>
                <w:szCs w:val="1"/>
                <w:color w:val="auto"/>
              </w:rPr>
            </w:pPr>
          </w:p>
        </w:tc>
      </w:tr>
      <w:tr>
        <w:trPr>
          <w:trHeight w:val="213"/>
        </w:trPr>
        <w:tc>
          <w:tcPr>
            <w:tcW w:w="4080" w:type="dxa"/>
            <w:vAlign w:val="bottom"/>
            <w:tcBorders>
              <w:left w:val="single" w:sz="8" w:color="4F81BD"/>
              <w:right w:val="single" w:sz="8" w:color="4F81BD"/>
            </w:tcBorders>
            <w:shd w:val="clear" w:color="auto" w:fill="DBE5F1"/>
          </w:tcPr>
          <w:p>
            <w:pPr>
              <w:spacing w:after="0"/>
              <w:rPr>
                <w:sz w:val="18"/>
                <w:szCs w:val="18"/>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Supply chain disruption</w:t>
            </w:r>
          </w:p>
        </w:tc>
        <w:tc>
          <w:tcPr>
            <w:tcW w:w="0" w:type="dxa"/>
            <w:vAlign w:val="bottom"/>
          </w:tcPr>
          <w:p>
            <w:pPr>
              <w:spacing w:after="0"/>
              <w:rPr>
                <w:sz w:val="1"/>
                <w:szCs w:val="1"/>
                <w:color w:val="auto"/>
              </w:rPr>
            </w:pPr>
          </w:p>
        </w:tc>
      </w:tr>
      <w:tr>
        <w:trPr>
          <w:trHeight w:val="225"/>
        </w:trPr>
        <w:tc>
          <w:tcPr>
            <w:tcW w:w="4080" w:type="dxa"/>
            <w:vAlign w:val="bottom"/>
            <w:tcBorders>
              <w:left w:val="single" w:sz="8" w:color="4F81BD"/>
              <w:right w:val="single" w:sz="8" w:color="4F81BD"/>
            </w:tcBorders>
            <w:shd w:val="clear" w:color="auto" w:fill="DBE5F1"/>
          </w:tcPr>
          <w:p>
            <w:pPr>
              <w:spacing w:after="0"/>
              <w:rPr>
                <w:sz w:val="19"/>
                <w:szCs w:val="19"/>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Costs associated with capital expenditures and infrastructure-related remediation projects</w:t>
            </w:r>
          </w:p>
        </w:tc>
        <w:tc>
          <w:tcPr>
            <w:tcW w:w="0" w:type="dxa"/>
            <w:vAlign w:val="bottom"/>
          </w:tcPr>
          <w:p>
            <w:pPr>
              <w:spacing w:after="0"/>
              <w:rPr>
                <w:sz w:val="1"/>
                <w:szCs w:val="1"/>
                <w:color w:val="auto"/>
              </w:rPr>
            </w:pPr>
          </w:p>
        </w:tc>
      </w:tr>
      <w:tr>
        <w:trPr>
          <w:trHeight w:val="213"/>
        </w:trPr>
        <w:tc>
          <w:tcPr>
            <w:tcW w:w="4080" w:type="dxa"/>
            <w:vAlign w:val="bottom"/>
            <w:tcBorders>
              <w:left w:val="single" w:sz="8" w:color="4F81BD"/>
              <w:right w:val="single" w:sz="8" w:color="4F81BD"/>
            </w:tcBorders>
            <w:shd w:val="clear" w:color="auto" w:fill="DBE5F1"/>
          </w:tcPr>
          <w:p>
            <w:pPr>
              <w:spacing w:after="0"/>
              <w:rPr>
                <w:sz w:val="18"/>
                <w:szCs w:val="18"/>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Alteration of designs at new and existing buildings</w:t>
            </w:r>
          </w:p>
        </w:tc>
        <w:tc>
          <w:tcPr>
            <w:tcW w:w="0" w:type="dxa"/>
            <w:vAlign w:val="bottom"/>
          </w:tcPr>
          <w:p>
            <w:pPr>
              <w:spacing w:after="0"/>
              <w:rPr>
                <w:sz w:val="1"/>
                <w:szCs w:val="1"/>
                <w:color w:val="auto"/>
              </w:rPr>
            </w:pPr>
          </w:p>
        </w:tc>
      </w:tr>
      <w:tr>
        <w:trPr>
          <w:trHeight w:val="213"/>
        </w:trPr>
        <w:tc>
          <w:tcPr>
            <w:tcW w:w="4080" w:type="dxa"/>
            <w:vAlign w:val="bottom"/>
            <w:tcBorders>
              <w:left w:val="single" w:sz="8" w:color="4F81BD"/>
              <w:right w:val="single" w:sz="8" w:color="4F81BD"/>
            </w:tcBorders>
            <w:shd w:val="clear" w:color="auto" w:fill="DBE5F1"/>
          </w:tcPr>
          <w:p>
            <w:pPr>
              <w:spacing w:after="0"/>
              <w:rPr>
                <w:sz w:val="18"/>
                <w:szCs w:val="18"/>
                <w:color w:val="auto"/>
              </w:rPr>
            </w:pPr>
          </w:p>
        </w:tc>
        <w:tc>
          <w:tcPr>
            <w:tcW w:w="6840" w:type="dxa"/>
            <w:vAlign w:val="bottom"/>
            <w:tcBorders>
              <w:right w:val="single" w:sz="8" w:color="4F81BD"/>
            </w:tcBorders>
            <w:shd w:val="clear" w:color="auto" w:fill="DBE5F1"/>
          </w:tcPr>
          <w:p>
            <w:pPr>
              <w:ind w:left="280"/>
              <w:spacing w:after="0"/>
              <w:rPr>
                <w:sz w:val="20"/>
                <w:szCs w:val="20"/>
                <w:color w:val="auto"/>
              </w:rPr>
            </w:pPr>
            <w:r>
              <w:rPr>
                <w:rFonts w:ascii="Arial" w:cs="Arial" w:eastAsia="Arial" w:hAnsi="Arial"/>
                <w:sz w:val="14"/>
                <w:szCs w:val="14"/>
                <w:color w:val="auto"/>
              </w:rPr>
              <w:t>•   Increased costs of real estate taxes or other assessments</w:t>
            </w:r>
          </w:p>
        </w:tc>
        <w:tc>
          <w:tcPr>
            <w:tcW w:w="0" w:type="dxa"/>
            <w:vAlign w:val="bottom"/>
          </w:tcPr>
          <w:p>
            <w:pPr>
              <w:spacing w:after="0"/>
              <w:rPr>
                <w:sz w:val="1"/>
                <w:szCs w:val="1"/>
                <w:color w:val="auto"/>
              </w:rPr>
            </w:pPr>
          </w:p>
        </w:tc>
      </w:tr>
      <w:tr>
        <w:trPr>
          <w:trHeight w:val="242"/>
        </w:trPr>
        <w:tc>
          <w:tcPr>
            <w:tcW w:w="4080" w:type="dxa"/>
            <w:vAlign w:val="bottom"/>
            <w:tcBorders>
              <w:left w:val="single" w:sz="8" w:color="4F81BD"/>
              <w:bottom w:val="single" w:sz="8" w:color="4F81BD"/>
              <w:right w:val="single" w:sz="8" w:color="4F81BD"/>
            </w:tcBorders>
            <w:shd w:val="clear" w:color="auto" w:fill="DBE5F1"/>
          </w:tcPr>
          <w:p>
            <w:pPr>
              <w:spacing w:after="0"/>
              <w:rPr>
                <w:sz w:val="21"/>
                <w:szCs w:val="21"/>
                <w:color w:val="auto"/>
              </w:rPr>
            </w:pPr>
          </w:p>
        </w:tc>
        <w:tc>
          <w:tcPr>
            <w:tcW w:w="6840" w:type="dxa"/>
            <w:vAlign w:val="bottom"/>
            <w:tcBorders>
              <w:bottom w:val="single" w:sz="8" w:color="4F81BD"/>
              <w:right w:val="single" w:sz="8" w:color="4F81BD"/>
            </w:tcBorders>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4"/>
                <w:szCs w:val="14"/>
                <w:color w:val="auto"/>
              </w:rPr>
              <w:t>Long-Term</w:t>
            </w: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Building adaptation, including architectural and mechanical improvements, could increase capital</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tcPr>
          <w:p>
            <w:pPr>
              <w:spacing w:after="0"/>
              <w:rPr>
                <w:sz w:val="14"/>
                <w:szCs w:val="14"/>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expenditure requirements.</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tcPr>
          <w:p>
            <w:pPr>
              <w:spacing w:after="0"/>
              <w:rPr>
                <w:sz w:val="21"/>
                <w:szCs w:val="21"/>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Extreme drought and wildfires could adversely impact demand in markets prone to water scarcity and</w:t>
            </w:r>
          </w:p>
        </w:tc>
        <w:tc>
          <w:tcPr>
            <w:tcW w:w="0" w:type="dxa"/>
            <w:vAlign w:val="bottom"/>
          </w:tcPr>
          <w:p>
            <w:pPr>
              <w:spacing w:after="0"/>
              <w:rPr>
                <w:sz w:val="1"/>
                <w:szCs w:val="1"/>
                <w:color w:val="auto"/>
              </w:rPr>
            </w:pPr>
          </w:p>
        </w:tc>
      </w:tr>
      <w:tr>
        <w:trPr>
          <w:trHeight w:val="178"/>
        </w:trPr>
        <w:tc>
          <w:tcPr>
            <w:tcW w:w="4080" w:type="dxa"/>
            <w:vAlign w:val="bottom"/>
            <w:tcBorders>
              <w:left w:val="single" w:sz="8" w:color="4F81BD"/>
              <w:right w:val="single" w:sz="8" w:color="4F81BD"/>
            </w:tcBorders>
          </w:tcPr>
          <w:p>
            <w:pPr>
              <w:spacing w:after="0"/>
              <w:rPr>
                <w:sz w:val="15"/>
                <w:szCs w:val="15"/>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annual wildfire risk.</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tcPr>
          <w:p>
            <w:pPr>
              <w:spacing w:after="0"/>
              <w:rPr>
                <w:sz w:val="21"/>
                <w:szCs w:val="21"/>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Sea-level rise and extreme weather events could make property insurance unavailable in high-risk areas.</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tcPr>
          <w:p>
            <w:pPr>
              <w:spacing w:after="0"/>
              <w:rPr>
                <w:sz w:val="21"/>
                <w:szCs w:val="21"/>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Public transportation system disruptions could impact access to BXP buildings.</w:t>
            </w:r>
          </w:p>
        </w:tc>
        <w:tc>
          <w:tcPr>
            <w:tcW w:w="0" w:type="dxa"/>
            <w:vAlign w:val="bottom"/>
          </w:tcPr>
          <w:p>
            <w:pPr>
              <w:spacing w:after="0"/>
              <w:rPr>
                <w:sz w:val="1"/>
                <w:szCs w:val="1"/>
                <w:color w:val="auto"/>
              </w:rPr>
            </w:pPr>
          </w:p>
        </w:tc>
      </w:tr>
      <w:tr>
        <w:trPr>
          <w:trHeight w:val="244"/>
        </w:trPr>
        <w:tc>
          <w:tcPr>
            <w:tcW w:w="4080" w:type="dxa"/>
            <w:vAlign w:val="bottom"/>
            <w:tcBorders>
              <w:left w:val="single" w:sz="8" w:color="4F81BD"/>
              <w:right w:val="single" w:sz="8" w:color="4F81BD"/>
            </w:tcBorders>
          </w:tcPr>
          <w:p>
            <w:pPr>
              <w:spacing w:after="0"/>
              <w:rPr>
                <w:sz w:val="21"/>
                <w:szCs w:val="21"/>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Chronic climate-related physical risks and associated downtime could result in declining demand for office</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tcPr>
          <w:p>
            <w:pPr>
              <w:spacing w:after="0"/>
              <w:rPr>
                <w:sz w:val="14"/>
                <w:szCs w:val="14"/>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space at impacted buildings.</w:t>
            </w:r>
          </w:p>
        </w:tc>
        <w:tc>
          <w:tcPr>
            <w:tcW w:w="0" w:type="dxa"/>
            <w:vAlign w:val="bottom"/>
          </w:tcPr>
          <w:p>
            <w:pPr>
              <w:spacing w:after="0"/>
              <w:rPr>
                <w:sz w:val="1"/>
                <w:szCs w:val="1"/>
                <w:color w:val="auto"/>
              </w:rPr>
            </w:pPr>
          </w:p>
        </w:tc>
      </w:tr>
      <w:tr>
        <w:trPr>
          <w:trHeight w:val="29"/>
        </w:trPr>
        <w:tc>
          <w:tcPr>
            <w:tcW w:w="4080" w:type="dxa"/>
            <w:vAlign w:val="bottom"/>
            <w:tcBorders>
              <w:left w:val="single" w:sz="8" w:color="4F81BD"/>
              <w:right w:val="single" w:sz="8" w:color="4F81BD"/>
            </w:tcBorders>
          </w:tcPr>
          <w:p>
            <w:pPr>
              <w:spacing w:after="0"/>
              <w:rPr>
                <w:sz w:val="2"/>
                <w:szCs w:val="2"/>
                <w:color w:val="auto"/>
              </w:rPr>
            </w:pPr>
          </w:p>
        </w:tc>
        <w:tc>
          <w:tcPr>
            <w:tcW w:w="6840" w:type="dxa"/>
            <w:vAlign w:val="bottom"/>
            <w:tcBorders>
              <w:right w:val="single" w:sz="8" w:color="4F81BD"/>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left w:val="single" w:sz="8" w:color="4F81BD"/>
              <w:bottom w:val="single" w:sz="8" w:color="4F81BD"/>
              <w:right w:val="single" w:sz="8" w:color="4F81BD"/>
            </w:tcBorders>
            <w:shd w:val="clear" w:color="auto" w:fill="4F81BD"/>
          </w:tcPr>
          <w:p>
            <w:pPr>
              <w:ind w:left="1620"/>
              <w:spacing w:after="0"/>
              <w:rPr>
                <w:sz w:val="20"/>
                <w:szCs w:val="20"/>
                <w:color w:val="auto"/>
              </w:rPr>
            </w:pPr>
            <w:r>
              <w:rPr>
                <w:rFonts w:ascii="Arial" w:cs="Arial" w:eastAsia="Arial" w:hAnsi="Arial"/>
                <w:sz w:val="14"/>
                <w:szCs w:val="14"/>
                <w:b w:val="1"/>
                <w:bCs w:val="1"/>
                <w:color w:val="FFFFFF"/>
              </w:rPr>
              <w:t>Time Period</w:t>
            </w:r>
          </w:p>
        </w:tc>
        <w:tc>
          <w:tcPr>
            <w:tcW w:w="6840" w:type="dxa"/>
            <w:vAlign w:val="bottom"/>
            <w:tcBorders>
              <w:bottom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4"/>
                <w:szCs w:val="14"/>
                <w:b w:val="1"/>
                <w:bCs w:val="1"/>
                <w:color w:val="FFFFFF"/>
                <w:w w:val="99"/>
              </w:rPr>
              <w:t>Transition Risks</w:t>
            </w:r>
          </w:p>
        </w:tc>
        <w:tc>
          <w:tcPr>
            <w:tcW w:w="0" w:type="dxa"/>
            <w:vAlign w:val="bottom"/>
          </w:tcPr>
          <w:p>
            <w:pPr>
              <w:spacing w:after="0"/>
              <w:rPr>
                <w:sz w:val="1"/>
                <w:szCs w:val="1"/>
                <w:color w:val="auto"/>
              </w:rPr>
            </w:pPr>
          </w:p>
        </w:tc>
      </w:tr>
      <w:tr>
        <w:trPr>
          <w:trHeight w:val="196"/>
        </w:trPr>
        <w:tc>
          <w:tcPr>
            <w:tcW w:w="4080" w:type="dxa"/>
            <w:vAlign w:val="bottom"/>
            <w:tcBorders>
              <w:left w:val="single" w:sz="8" w:color="4F81BD"/>
              <w:right w:val="single" w:sz="8" w:color="4F81BD"/>
            </w:tcBorders>
            <w:shd w:val="clear" w:color="auto" w:fill="DBE5F1"/>
          </w:tcPr>
          <w:p>
            <w:pPr>
              <w:ind w:left="20"/>
              <w:spacing w:after="0"/>
              <w:rPr>
                <w:sz w:val="20"/>
                <w:szCs w:val="20"/>
                <w:color w:val="auto"/>
              </w:rPr>
            </w:pPr>
            <w:r>
              <w:rPr>
                <w:rFonts w:ascii="Arial" w:cs="Arial" w:eastAsia="Arial" w:hAnsi="Arial"/>
                <w:sz w:val="14"/>
                <w:szCs w:val="14"/>
                <w:color w:val="auto"/>
              </w:rPr>
              <w:t>Short- to Medium-Term</w:t>
            </w:r>
          </w:p>
        </w:tc>
        <w:tc>
          <w:tcPr>
            <w:tcW w:w="6840" w:type="dxa"/>
            <w:vAlign w:val="bottom"/>
            <w:tcBorders>
              <w:right w:val="single" w:sz="8" w:color="4F81BD"/>
            </w:tcBorders>
            <w:vMerge w:val="restart"/>
            <w:shd w:val="clear" w:color="auto" w:fill="DBE5F1"/>
          </w:tcPr>
          <w:p>
            <w:pPr>
              <w:spacing w:after="0"/>
              <w:rPr>
                <w:sz w:val="20"/>
                <w:szCs w:val="20"/>
                <w:color w:val="auto"/>
              </w:rPr>
            </w:pPr>
            <w:r>
              <w:rPr>
                <w:rFonts w:ascii="Arial" w:cs="Arial" w:eastAsia="Arial" w:hAnsi="Arial"/>
                <w:sz w:val="14"/>
                <w:szCs w:val="14"/>
                <w:color w:val="auto"/>
              </w:rPr>
              <w:t>Non-compliance with regulatory requirements, including energy and carbon performance standards, may</w:t>
            </w:r>
          </w:p>
        </w:tc>
        <w:tc>
          <w:tcPr>
            <w:tcW w:w="0" w:type="dxa"/>
            <w:vAlign w:val="bottom"/>
          </w:tcPr>
          <w:p>
            <w:pPr>
              <w:spacing w:after="0"/>
              <w:rPr>
                <w:sz w:val="1"/>
                <w:szCs w:val="1"/>
                <w:color w:val="auto"/>
              </w:rPr>
            </w:pPr>
          </w:p>
        </w:tc>
      </w:tr>
      <w:tr>
        <w:trPr>
          <w:trHeight w:val="78"/>
        </w:trPr>
        <w:tc>
          <w:tcPr>
            <w:tcW w:w="4080" w:type="dxa"/>
            <w:vAlign w:val="bottom"/>
            <w:tcBorders>
              <w:left w:val="single" w:sz="8" w:color="4F81BD"/>
              <w:right w:val="single" w:sz="8" w:color="4F81BD"/>
            </w:tcBorders>
            <w:shd w:val="clear" w:color="auto" w:fill="DBE5F1"/>
          </w:tcPr>
          <w:p>
            <w:pPr>
              <w:spacing w:after="0"/>
              <w:rPr>
                <w:sz w:val="6"/>
                <w:szCs w:val="6"/>
                <w:color w:val="auto"/>
              </w:rPr>
            </w:pPr>
          </w:p>
        </w:tc>
        <w:tc>
          <w:tcPr>
            <w:tcW w:w="6840" w:type="dxa"/>
            <w:vAlign w:val="bottom"/>
            <w:tcBorders>
              <w:right w:val="single" w:sz="8" w:color="4F81BD"/>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increase costs and/or introduce potential fines.</w:t>
            </w:r>
          </w:p>
        </w:tc>
        <w:tc>
          <w:tcPr>
            <w:tcW w:w="0" w:type="dxa"/>
            <w:vAlign w:val="bottom"/>
          </w:tcPr>
          <w:p>
            <w:pPr>
              <w:spacing w:after="0"/>
              <w:rPr>
                <w:sz w:val="1"/>
                <w:szCs w:val="1"/>
                <w:color w:val="auto"/>
              </w:rPr>
            </w:pPr>
          </w:p>
        </w:tc>
      </w:tr>
      <w:tr>
        <w:trPr>
          <w:trHeight w:val="244"/>
        </w:trPr>
        <w:tc>
          <w:tcPr>
            <w:tcW w:w="4080" w:type="dxa"/>
            <w:vAlign w:val="bottom"/>
            <w:tcBorders>
              <w:left w:val="single" w:sz="8" w:color="4F81BD"/>
              <w:right w:val="single" w:sz="8" w:color="4F81BD"/>
            </w:tcBorders>
            <w:shd w:val="clear" w:color="auto" w:fill="DBE5F1"/>
          </w:tcPr>
          <w:p>
            <w:pPr>
              <w:spacing w:after="0"/>
              <w:rPr>
                <w:sz w:val="21"/>
                <w:szCs w:val="21"/>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Compliance with green building codes, including electrification of heating systems, may increase</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development and operational costs.</w:t>
            </w:r>
          </w:p>
        </w:tc>
        <w:tc>
          <w:tcPr>
            <w:tcW w:w="0" w:type="dxa"/>
            <w:vAlign w:val="bottom"/>
          </w:tcPr>
          <w:p>
            <w:pPr>
              <w:spacing w:after="0"/>
              <w:rPr>
                <w:sz w:val="1"/>
                <w:szCs w:val="1"/>
                <w:color w:val="auto"/>
              </w:rPr>
            </w:pPr>
          </w:p>
        </w:tc>
      </w:tr>
      <w:tr>
        <w:trPr>
          <w:trHeight w:val="256"/>
        </w:trPr>
        <w:tc>
          <w:tcPr>
            <w:tcW w:w="4080" w:type="dxa"/>
            <w:vAlign w:val="bottom"/>
            <w:tcBorders>
              <w:left w:val="single" w:sz="8" w:color="4F81BD"/>
              <w:right w:val="single" w:sz="8" w:color="4F81BD"/>
            </w:tcBorders>
            <w:shd w:val="clear" w:color="auto" w:fill="DBE5F1"/>
          </w:tcPr>
          <w:p>
            <w:pPr>
              <w:spacing w:after="0"/>
              <w:rPr>
                <w:sz w:val="22"/>
                <w:szCs w:val="22"/>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Failure to meet sustainability needs (e.g., net-zero requirements) of clients and investors could result in lost</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business.</w:t>
            </w:r>
          </w:p>
        </w:tc>
        <w:tc>
          <w:tcPr>
            <w:tcW w:w="0" w:type="dxa"/>
            <w:vAlign w:val="bottom"/>
          </w:tcPr>
          <w:p>
            <w:pPr>
              <w:spacing w:after="0"/>
              <w:rPr>
                <w:sz w:val="1"/>
                <w:szCs w:val="1"/>
                <w:color w:val="auto"/>
              </w:rPr>
            </w:pPr>
          </w:p>
        </w:tc>
      </w:tr>
      <w:tr>
        <w:trPr>
          <w:trHeight w:val="258"/>
        </w:trPr>
        <w:tc>
          <w:tcPr>
            <w:tcW w:w="4080" w:type="dxa"/>
            <w:vAlign w:val="bottom"/>
            <w:tcBorders>
              <w:left w:val="single" w:sz="8" w:color="4F81BD"/>
              <w:bottom w:val="single" w:sz="8" w:color="4F81BD"/>
              <w:right w:val="single" w:sz="8" w:color="4F81BD"/>
            </w:tcBorders>
            <w:shd w:val="clear" w:color="auto" w:fill="DBE5F1"/>
          </w:tcPr>
          <w:p>
            <w:pPr>
              <w:spacing w:after="0"/>
              <w:rPr>
                <w:sz w:val="22"/>
                <w:szCs w:val="22"/>
                <w:color w:val="auto"/>
              </w:rPr>
            </w:pPr>
          </w:p>
        </w:tc>
        <w:tc>
          <w:tcPr>
            <w:tcW w:w="6840" w:type="dxa"/>
            <w:vAlign w:val="bottom"/>
            <w:tcBorders>
              <w:bottom w:val="single" w:sz="8" w:color="4F81BD"/>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Additional growth, particularly in life sciences, may increase energy and emissions intensities.</w:t>
            </w:r>
          </w:p>
        </w:tc>
        <w:tc>
          <w:tcPr>
            <w:tcW w:w="0" w:type="dxa"/>
            <w:vAlign w:val="bottom"/>
          </w:tcPr>
          <w:p>
            <w:pPr>
              <w:spacing w:after="0"/>
              <w:rPr>
                <w:sz w:val="1"/>
                <w:szCs w:val="1"/>
                <w:color w:val="auto"/>
              </w:rPr>
            </w:pPr>
          </w:p>
        </w:tc>
      </w:tr>
      <w:tr>
        <w:trPr>
          <w:trHeight w:val="191"/>
        </w:trPr>
        <w:tc>
          <w:tcPr>
            <w:tcW w:w="408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4"/>
                <w:szCs w:val="14"/>
                <w:color w:val="auto"/>
              </w:rPr>
              <w:t>Long-Term</w:t>
            </w: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Real estate taxes may increase to fund public projects to improve regional and neighborhood-scale</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tcPr>
          <w:p>
            <w:pPr>
              <w:spacing w:after="0"/>
              <w:rPr>
                <w:sz w:val="14"/>
                <w:szCs w:val="14"/>
                <w:color w:val="auto"/>
              </w:rPr>
            </w:pPr>
          </w:p>
        </w:tc>
        <w:tc>
          <w:tcPr>
            <w:tcW w:w="6840" w:type="dxa"/>
            <w:vAlign w:val="bottom"/>
            <w:tcBorders>
              <w:right w:val="single" w:sz="8" w:color="4F81BD"/>
            </w:tcBorders>
          </w:tcPr>
          <w:p>
            <w:pPr>
              <w:spacing w:after="0"/>
              <w:rPr>
                <w:sz w:val="20"/>
                <w:szCs w:val="20"/>
                <w:color w:val="auto"/>
              </w:rPr>
            </w:pPr>
            <w:r>
              <w:rPr>
                <w:rFonts w:ascii="Arial" w:cs="Arial" w:eastAsia="Arial" w:hAnsi="Arial"/>
                <w:sz w:val="14"/>
                <w:szCs w:val="14"/>
                <w:color w:val="auto"/>
              </w:rPr>
              <w:t>resilience.</w:t>
            </w:r>
          </w:p>
        </w:tc>
        <w:tc>
          <w:tcPr>
            <w:tcW w:w="0" w:type="dxa"/>
            <w:vAlign w:val="bottom"/>
          </w:tcPr>
          <w:p>
            <w:pPr>
              <w:spacing w:after="0"/>
              <w:rPr>
                <w:sz w:val="1"/>
                <w:szCs w:val="1"/>
                <w:color w:val="auto"/>
              </w:rPr>
            </w:pPr>
          </w:p>
        </w:tc>
      </w:tr>
      <w:tr>
        <w:trPr>
          <w:trHeight w:val="29"/>
        </w:trPr>
        <w:tc>
          <w:tcPr>
            <w:tcW w:w="4080" w:type="dxa"/>
            <w:vAlign w:val="bottom"/>
            <w:tcBorders>
              <w:left w:val="single" w:sz="8" w:color="4F81BD"/>
              <w:right w:val="single" w:sz="8" w:color="4F81BD"/>
            </w:tcBorders>
          </w:tcPr>
          <w:p>
            <w:pPr>
              <w:spacing w:after="0"/>
              <w:rPr>
                <w:sz w:val="2"/>
                <w:szCs w:val="2"/>
                <w:color w:val="auto"/>
              </w:rPr>
            </w:pPr>
          </w:p>
        </w:tc>
        <w:tc>
          <w:tcPr>
            <w:tcW w:w="6840" w:type="dxa"/>
            <w:vAlign w:val="bottom"/>
            <w:tcBorders>
              <w:right w:val="single" w:sz="8" w:color="4F81BD"/>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left w:val="single" w:sz="8" w:color="4F81BD"/>
              <w:bottom w:val="single" w:sz="8" w:color="4F81BD"/>
              <w:right w:val="single" w:sz="8" w:color="4F81BD"/>
            </w:tcBorders>
            <w:shd w:val="clear" w:color="auto" w:fill="4F81BD"/>
          </w:tcPr>
          <w:p>
            <w:pPr>
              <w:ind w:left="1620"/>
              <w:spacing w:after="0"/>
              <w:rPr>
                <w:sz w:val="20"/>
                <w:szCs w:val="20"/>
                <w:color w:val="auto"/>
              </w:rPr>
            </w:pPr>
            <w:r>
              <w:rPr>
                <w:rFonts w:ascii="Arial" w:cs="Arial" w:eastAsia="Arial" w:hAnsi="Arial"/>
                <w:sz w:val="14"/>
                <w:szCs w:val="14"/>
                <w:b w:val="1"/>
                <w:bCs w:val="1"/>
                <w:color w:val="FFFFFF"/>
              </w:rPr>
              <w:t>Time Period</w:t>
            </w:r>
          </w:p>
        </w:tc>
        <w:tc>
          <w:tcPr>
            <w:tcW w:w="6840" w:type="dxa"/>
            <w:vAlign w:val="bottom"/>
            <w:tcBorders>
              <w:bottom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4"/>
                <w:szCs w:val="14"/>
                <w:b w:val="1"/>
                <w:bCs w:val="1"/>
                <w:color w:val="FFFFFF"/>
              </w:rPr>
              <w:t>Mitigation &amp; Other Opportunities</w:t>
            </w:r>
          </w:p>
        </w:tc>
        <w:tc>
          <w:tcPr>
            <w:tcW w:w="0" w:type="dxa"/>
            <w:vAlign w:val="bottom"/>
          </w:tcPr>
          <w:p>
            <w:pPr>
              <w:spacing w:after="0"/>
              <w:rPr>
                <w:sz w:val="1"/>
                <w:szCs w:val="1"/>
                <w:color w:val="auto"/>
              </w:rPr>
            </w:pPr>
          </w:p>
        </w:tc>
      </w:tr>
      <w:tr>
        <w:trPr>
          <w:trHeight w:val="196"/>
        </w:trPr>
        <w:tc>
          <w:tcPr>
            <w:tcW w:w="4080" w:type="dxa"/>
            <w:vAlign w:val="bottom"/>
            <w:tcBorders>
              <w:left w:val="single" w:sz="8" w:color="4F81BD"/>
              <w:right w:val="single" w:sz="8" w:color="4F81BD"/>
            </w:tcBorders>
            <w:shd w:val="clear" w:color="auto" w:fill="DBE5F1"/>
          </w:tcPr>
          <w:p>
            <w:pPr>
              <w:ind w:left="20"/>
              <w:spacing w:after="0"/>
              <w:rPr>
                <w:sz w:val="20"/>
                <w:szCs w:val="20"/>
                <w:color w:val="auto"/>
              </w:rPr>
            </w:pPr>
            <w:r>
              <w:rPr>
                <w:rFonts w:ascii="Arial" w:cs="Arial" w:eastAsia="Arial" w:hAnsi="Arial"/>
                <w:sz w:val="14"/>
                <w:szCs w:val="14"/>
                <w:color w:val="auto"/>
              </w:rPr>
              <w:t>Short-Term</w:t>
            </w:r>
          </w:p>
        </w:tc>
        <w:tc>
          <w:tcPr>
            <w:tcW w:w="6840" w:type="dxa"/>
            <w:vAlign w:val="bottom"/>
            <w:tcBorders>
              <w:right w:val="single" w:sz="8" w:color="4F81BD"/>
            </w:tcBorders>
            <w:vMerge w:val="restart"/>
            <w:shd w:val="clear" w:color="auto" w:fill="DBE5F1"/>
          </w:tcPr>
          <w:p>
            <w:pPr>
              <w:spacing w:after="0"/>
              <w:rPr>
                <w:sz w:val="20"/>
                <w:szCs w:val="20"/>
                <w:color w:val="auto"/>
              </w:rPr>
            </w:pPr>
            <w:r>
              <w:rPr>
                <w:rFonts w:ascii="Arial" w:cs="Arial" w:eastAsia="Arial" w:hAnsi="Arial"/>
                <w:sz w:val="14"/>
                <w:szCs w:val="14"/>
                <w:color w:val="auto"/>
              </w:rPr>
              <w:t>Energy and carbon reductions could result in greater product differentiation and competitive advantage.</w:t>
            </w:r>
          </w:p>
        </w:tc>
        <w:tc>
          <w:tcPr>
            <w:tcW w:w="0" w:type="dxa"/>
            <w:vAlign w:val="bottom"/>
          </w:tcPr>
          <w:p>
            <w:pPr>
              <w:spacing w:after="0"/>
              <w:rPr>
                <w:sz w:val="1"/>
                <w:szCs w:val="1"/>
                <w:color w:val="auto"/>
              </w:rPr>
            </w:pPr>
          </w:p>
        </w:tc>
      </w:tr>
      <w:tr>
        <w:trPr>
          <w:trHeight w:val="83"/>
        </w:trPr>
        <w:tc>
          <w:tcPr>
            <w:tcW w:w="4080" w:type="dxa"/>
            <w:vAlign w:val="bottom"/>
            <w:tcBorders>
              <w:left w:val="single" w:sz="8" w:color="4F81BD"/>
              <w:right w:val="single" w:sz="8" w:color="4F81BD"/>
            </w:tcBorders>
            <w:shd w:val="clear" w:color="auto" w:fill="DBE5F1"/>
          </w:tcPr>
          <w:p>
            <w:pPr>
              <w:spacing w:after="0"/>
              <w:rPr>
                <w:sz w:val="7"/>
                <w:szCs w:val="7"/>
                <w:color w:val="auto"/>
              </w:rPr>
            </w:pPr>
          </w:p>
        </w:tc>
        <w:tc>
          <w:tcPr>
            <w:tcW w:w="6840" w:type="dxa"/>
            <w:vAlign w:val="bottom"/>
            <w:tcBorders>
              <w:right w:val="single" w:sz="8" w:color="4F81BD"/>
            </w:tcBorders>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080" w:type="dxa"/>
            <w:vAlign w:val="bottom"/>
            <w:tcBorders>
              <w:left w:val="single" w:sz="8" w:color="4F81BD"/>
              <w:right w:val="single" w:sz="8" w:color="4F81BD"/>
            </w:tcBorders>
            <w:shd w:val="clear" w:color="auto" w:fill="DBE5F1"/>
          </w:tcPr>
          <w:p>
            <w:pPr>
              <w:spacing w:after="0"/>
              <w:rPr>
                <w:sz w:val="21"/>
                <w:szCs w:val="21"/>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Stronger ESG disclosures, particularly regarding climate action and resilience, may qualify BXP for greater</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inclusion in ESG ETFs and other funds.</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shd w:val="clear" w:color="auto" w:fill="DBE5F1"/>
          </w:tcPr>
          <w:p>
            <w:pPr>
              <w:spacing w:after="0"/>
              <w:rPr>
                <w:sz w:val="21"/>
                <w:szCs w:val="21"/>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BXP may benefit from a lower cost of capital from green bonds and/or sustainability-linked credit.</w:t>
            </w:r>
          </w:p>
        </w:tc>
        <w:tc>
          <w:tcPr>
            <w:tcW w:w="0" w:type="dxa"/>
            <w:vAlign w:val="bottom"/>
          </w:tcPr>
          <w:p>
            <w:pPr>
              <w:spacing w:after="0"/>
              <w:rPr>
                <w:sz w:val="1"/>
                <w:szCs w:val="1"/>
                <w:color w:val="auto"/>
              </w:rPr>
            </w:pPr>
          </w:p>
        </w:tc>
      </w:tr>
      <w:tr>
        <w:trPr>
          <w:trHeight w:val="249"/>
        </w:trPr>
        <w:tc>
          <w:tcPr>
            <w:tcW w:w="4080" w:type="dxa"/>
            <w:vAlign w:val="bottom"/>
            <w:tcBorders>
              <w:left w:val="single" w:sz="8" w:color="4F81BD"/>
              <w:right w:val="single" w:sz="8" w:color="4F81BD"/>
            </w:tcBorders>
            <w:shd w:val="clear" w:color="auto" w:fill="DBE5F1"/>
          </w:tcPr>
          <w:p>
            <w:pPr>
              <w:spacing w:after="0"/>
              <w:rPr>
                <w:sz w:val="21"/>
                <w:szCs w:val="21"/>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BXP may avoid operating cost increases from rising energy costs through actions focused on efficient</w:t>
            </w:r>
          </w:p>
        </w:tc>
        <w:tc>
          <w:tcPr>
            <w:tcW w:w="0" w:type="dxa"/>
            <w:vAlign w:val="bottom"/>
          </w:tcPr>
          <w:p>
            <w:pPr>
              <w:spacing w:after="0"/>
              <w:rPr>
                <w:sz w:val="1"/>
                <w:szCs w:val="1"/>
                <w:color w:val="auto"/>
              </w:rPr>
            </w:pPr>
          </w:p>
        </w:tc>
      </w:tr>
      <w:tr>
        <w:trPr>
          <w:trHeight w:val="187"/>
        </w:trPr>
        <w:tc>
          <w:tcPr>
            <w:tcW w:w="4080" w:type="dxa"/>
            <w:vAlign w:val="bottom"/>
            <w:tcBorders>
              <w:left w:val="single" w:sz="8" w:color="4F81BD"/>
              <w:bottom w:val="single" w:sz="8" w:color="4F81BD"/>
              <w:right w:val="single" w:sz="8" w:color="4F81BD"/>
            </w:tcBorders>
            <w:shd w:val="clear" w:color="auto" w:fill="DBE5F1"/>
          </w:tcPr>
          <w:p>
            <w:pPr>
              <w:spacing w:after="0"/>
              <w:rPr>
                <w:sz w:val="16"/>
                <w:szCs w:val="16"/>
                <w:color w:val="auto"/>
              </w:rPr>
            </w:pPr>
          </w:p>
        </w:tc>
        <w:tc>
          <w:tcPr>
            <w:tcW w:w="6840" w:type="dxa"/>
            <w:vAlign w:val="bottom"/>
            <w:tcBorders>
              <w:bottom w:val="single" w:sz="8" w:color="4F81BD"/>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196"/>
        </w:trPr>
        <w:tc>
          <w:tcPr>
            <w:tcW w:w="4080" w:type="dxa"/>
            <w:vAlign w:val="bottom"/>
            <w:tcBorders>
              <w:left w:val="single" w:sz="8" w:color="4F81BD"/>
              <w:right w:val="single" w:sz="8" w:color="4F81BD"/>
            </w:tcBorders>
          </w:tcPr>
          <w:p>
            <w:pPr>
              <w:ind w:left="20"/>
              <w:spacing w:after="0"/>
              <w:rPr>
                <w:sz w:val="20"/>
                <w:szCs w:val="20"/>
                <w:color w:val="auto"/>
              </w:rPr>
            </w:pPr>
            <w:r>
              <w:rPr>
                <w:rFonts w:ascii="Arial" w:cs="Arial" w:eastAsia="Arial" w:hAnsi="Arial"/>
                <w:sz w:val="14"/>
                <w:szCs w:val="14"/>
                <w:color w:val="auto"/>
              </w:rPr>
              <w:t>Medium-Term</w:t>
            </w:r>
          </w:p>
        </w:tc>
        <w:tc>
          <w:tcPr>
            <w:tcW w:w="6840" w:type="dxa"/>
            <w:vAlign w:val="bottom"/>
            <w:tcBorders>
              <w:right w:val="single" w:sz="8" w:color="4F81BD"/>
            </w:tcBorders>
            <w:vMerge w:val="restart"/>
          </w:tcPr>
          <w:p>
            <w:pPr>
              <w:spacing w:after="0"/>
              <w:rPr>
                <w:sz w:val="20"/>
                <w:szCs w:val="20"/>
                <w:color w:val="auto"/>
              </w:rPr>
            </w:pPr>
            <w:r>
              <w:rPr>
                <w:rFonts w:ascii="Arial" w:cs="Arial" w:eastAsia="Arial" w:hAnsi="Arial"/>
                <w:sz w:val="14"/>
                <w:szCs w:val="14"/>
                <w:color w:val="auto"/>
              </w:rPr>
              <w:t>BXP may avoid penalties associated with building energy and carbon performance standards.</w:t>
            </w:r>
          </w:p>
        </w:tc>
        <w:tc>
          <w:tcPr>
            <w:tcW w:w="0" w:type="dxa"/>
            <w:vAlign w:val="bottom"/>
          </w:tcPr>
          <w:p>
            <w:pPr>
              <w:spacing w:after="0"/>
              <w:rPr>
                <w:sz w:val="1"/>
                <w:szCs w:val="1"/>
                <w:color w:val="auto"/>
              </w:rPr>
            </w:pPr>
          </w:p>
        </w:tc>
      </w:tr>
      <w:tr>
        <w:trPr>
          <w:trHeight w:val="83"/>
        </w:trPr>
        <w:tc>
          <w:tcPr>
            <w:tcW w:w="4080" w:type="dxa"/>
            <w:vAlign w:val="bottom"/>
            <w:tcBorders>
              <w:left w:val="single" w:sz="8" w:color="4F81BD"/>
              <w:right w:val="single" w:sz="8" w:color="4F81BD"/>
            </w:tcBorders>
          </w:tcPr>
          <w:p>
            <w:pPr>
              <w:spacing w:after="0"/>
              <w:rPr>
                <w:sz w:val="7"/>
                <w:szCs w:val="7"/>
                <w:color w:val="auto"/>
              </w:rPr>
            </w:pPr>
          </w:p>
        </w:tc>
        <w:tc>
          <w:tcPr>
            <w:tcW w:w="6840" w:type="dxa"/>
            <w:vAlign w:val="bottom"/>
            <w:tcBorders>
              <w:right w:val="single" w:sz="8" w:color="4F81B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4080" w:type="dxa"/>
            <w:vAlign w:val="bottom"/>
            <w:tcBorders>
              <w:left w:val="single" w:sz="8" w:color="4F81BD"/>
              <w:bottom w:val="single" w:sz="8" w:color="4F81BD"/>
              <w:right w:val="single" w:sz="8" w:color="4F81BD"/>
            </w:tcBorders>
          </w:tcPr>
          <w:p>
            <w:pPr>
              <w:spacing w:after="0"/>
              <w:rPr>
                <w:sz w:val="22"/>
                <w:szCs w:val="22"/>
                <w:color w:val="auto"/>
              </w:rPr>
            </w:pPr>
          </w:p>
        </w:tc>
        <w:tc>
          <w:tcPr>
            <w:tcW w:w="6840" w:type="dxa"/>
            <w:vAlign w:val="bottom"/>
            <w:tcBorders>
              <w:bottom w:val="single" w:sz="8" w:color="4F81BD"/>
              <w:right w:val="single" w:sz="8" w:color="4F81BD"/>
            </w:tcBorders>
          </w:tcPr>
          <w:p>
            <w:pPr>
              <w:spacing w:after="0"/>
              <w:rPr>
                <w:sz w:val="20"/>
                <w:szCs w:val="20"/>
                <w:color w:val="auto"/>
              </w:rPr>
            </w:pPr>
            <w:r>
              <w:rPr>
                <w:rFonts w:ascii="Arial" w:cs="Arial" w:eastAsia="Arial" w:hAnsi="Arial"/>
                <w:sz w:val="14"/>
                <w:szCs w:val="14"/>
                <w:color w:val="auto"/>
              </w:rPr>
              <w:t>Assets may be converted and/or certified net-zero, which may increase demand for office space.</w:t>
            </w:r>
          </w:p>
        </w:tc>
        <w:tc>
          <w:tcPr>
            <w:tcW w:w="0" w:type="dxa"/>
            <w:vAlign w:val="bottom"/>
          </w:tcPr>
          <w:p>
            <w:pPr>
              <w:spacing w:after="0"/>
              <w:rPr>
                <w:sz w:val="1"/>
                <w:szCs w:val="1"/>
                <w:color w:val="auto"/>
              </w:rPr>
            </w:pPr>
          </w:p>
        </w:tc>
      </w:tr>
      <w:tr>
        <w:trPr>
          <w:trHeight w:val="191"/>
        </w:trPr>
        <w:tc>
          <w:tcPr>
            <w:tcW w:w="4080" w:type="dxa"/>
            <w:vAlign w:val="bottom"/>
            <w:tcBorders>
              <w:left w:val="single" w:sz="8" w:color="4F81BD"/>
              <w:right w:val="single" w:sz="8" w:color="4F81BD"/>
            </w:tcBorders>
            <w:shd w:val="clear" w:color="auto" w:fill="DBE5F1"/>
          </w:tcPr>
          <w:p>
            <w:pPr>
              <w:ind w:left="20"/>
              <w:spacing w:after="0"/>
              <w:rPr>
                <w:sz w:val="20"/>
                <w:szCs w:val="20"/>
                <w:color w:val="auto"/>
              </w:rPr>
            </w:pPr>
            <w:r>
              <w:rPr>
                <w:rFonts w:ascii="Arial" w:cs="Arial" w:eastAsia="Arial" w:hAnsi="Arial"/>
                <w:sz w:val="14"/>
                <w:szCs w:val="14"/>
                <w:color w:val="auto"/>
              </w:rPr>
              <w:t>Long-Term</w:t>
            </w: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By focusing on the risks of climate change associated with acute and chronic physical risks during the</w:t>
            </w:r>
          </w:p>
        </w:tc>
        <w:tc>
          <w:tcPr>
            <w:tcW w:w="0" w:type="dxa"/>
            <w:vAlign w:val="bottom"/>
          </w:tcPr>
          <w:p>
            <w:pPr>
              <w:spacing w:after="0"/>
              <w:rPr>
                <w:sz w:val="1"/>
                <w:szCs w:val="1"/>
                <w:color w:val="auto"/>
              </w:rPr>
            </w:pPr>
          </w:p>
        </w:tc>
      </w:tr>
      <w:tr>
        <w:trPr>
          <w:trHeight w:val="171"/>
        </w:trPr>
        <w:tc>
          <w:tcPr>
            <w:tcW w:w="4080" w:type="dxa"/>
            <w:vAlign w:val="bottom"/>
            <w:tcBorders>
              <w:left w:val="single" w:sz="8" w:color="4F81BD"/>
              <w:right w:val="single" w:sz="8" w:color="4F81BD"/>
            </w:tcBorders>
            <w:shd w:val="clear" w:color="auto" w:fill="DBE5F1"/>
          </w:tcPr>
          <w:p>
            <w:pPr>
              <w:spacing w:after="0"/>
              <w:rPr>
                <w:sz w:val="14"/>
                <w:szCs w:val="14"/>
                <w:color w:val="auto"/>
              </w:rPr>
            </w:pPr>
          </w:p>
        </w:tc>
        <w:tc>
          <w:tcPr>
            <w:tcW w:w="6840" w:type="dxa"/>
            <w:vAlign w:val="bottom"/>
            <w:tcBorders>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development, acquisition and operating life of assets, BXP may mitigate losses and downtime resulting from</w:t>
            </w:r>
          </w:p>
        </w:tc>
        <w:tc>
          <w:tcPr>
            <w:tcW w:w="0" w:type="dxa"/>
            <w:vAlign w:val="bottom"/>
          </w:tcPr>
          <w:p>
            <w:pPr>
              <w:spacing w:after="0"/>
              <w:rPr>
                <w:sz w:val="1"/>
                <w:szCs w:val="1"/>
                <w:color w:val="auto"/>
              </w:rPr>
            </w:pPr>
          </w:p>
        </w:tc>
      </w:tr>
      <w:tr>
        <w:trPr>
          <w:trHeight w:val="187"/>
        </w:trPr>
        <w:tc>
          <w:tcPr>
            <w:tcW w:w="4080" w:type="dxa"/>
            <w:vAlign w:val="bottom"/>
            <w:tcBorders>
              <w:left w:val="single" w:sz="8" w:color="4F81BD"/>
              <w:bottom w:val="single" w:sz="8" w:color="4F81BD"/>
              <w:right w:val="single" w:sz="8" w:color="4F81BD"/>
            </w:tcBorders>
            <w:shd w:val="clear" w:color="auto" w:fill="DBE5F1"/>
          </w:tcPr>
          <w:p>
            <w:pPr>
              <w:spacing w:after="0"/>
              <w:rPr>
                <w:sz w:val="16"/>
                <w:szCs w:val="16"/>
                <w:color w:val="auto"/>
              </w:rPr>
            </w:pPr>
          </w:p>
        </w:tc>
        <w:tc>
          <w:tcPr>
            <w:tcW w:w="6840" w:type="dxa"/>
            <w:vAlign w:val="bottom"/>
            <w:tcBorders>
              <w:bottom w:val="single" w:sz="8" w:color="4F81BD"/>
              <w:right w:val="single" w:sz="8" w:color="4F81BD"/>
            </w:tcBorders>
            <w:shd w:val="clear" w:color="auto" w:fill="DBE5F1"/>
          </w:tcPr>
          <w:p>
            <w:pPr>
              <w:spacing w:after="0"/>
              <w:rPr>
                <w:sz w:val="20"/>
                <w:szCs w:val="20"/>
                <w:color w:val="auto"/>
              </w:rPr>
            </w:pPr>
            <w:r>
              <w:rPr>
                <w:rFonts w:ascii="Arial" w:cs="Arial" w:eastAsia="Arial" w:hAnsi="Arial"/>
                <w:sz w:val="14"/>
                <w:szCs w:val="14"/>
                <w:color w:val="auto"/>
              </w:rPr>
              <w:t>extreme weather events.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0" w:hanging="301"/>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Management</w:t>
      </w:r>
    </w:p>
    <w:p>
      <w:pPr>
        <w:spacing w:after="0" w:line="89" w:lineRule="exact"/>
        <w:rPr>
          <w:sz w:val="20"/>
          <w:szCs w:val="20"/>
          <w:color w:val="auto"/>
        </w:rPr>
      </w:pPr>
    </w:p>
    <w:p>
      <w:pPr>
        <w:ind w:left="360" w:right="40" w:firstLine="391"/>
        <w:spacing w:after="0" w:line="267" w:lineRule="auto"/>
        <w:rPr>
          <w:sz w:val="20"/>
          <w:szCs w:val="20"/>
          <w:color w:val="auto"/>
        </w:rPr>
      </w:pPr>
      <w:r>
        <w:rPr>
          <w:rFonts w:ascii="Arial" w:cs="Arial" w:eastAsia="Arial" w:hAnsi="Arial"/>
          <w:sz w:val="15"/>
          <w:szCs w:val="15"/>
          <w:color w:val="auto"/>
        </w:rPr>
        <w:t>BXP is committed to managing and avoiding the impacts of climate change. Our risk management program includes physical and transition risks, including both climate mitigation (resource efficiency and emissions reduction) and adaptation (integration of climate resilience into our investment decision-making). We are actively acquiring, developing and operating a geographically diverse portfolio of high-quality commercial real estate properties. Individual assets have unique risk profiles and insurance requirements. Through the processes of acquisition, development and operation of our in-service portfolio, our experienced real estate professionals are identifying risks, including business continuity risks, loss exposure related to extreme weather events and impacts of regulation, including permitting requirements, codes, and energy and carbon performance standards. The climate risk profile of each individual property is largely dependent on the property’s unique attributes, physical location and jurisdictional regulatory requirements.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Asset-Level Risk Management</w:t>
      </w:r>
    </w:p>
    <w:p>
      <w:pPr>
        <w:spacing w:after="0" w:line="140" w:lineRule="exact"/>
        <w:rPr>
          <w:sz w:val="20"/>
          <w:szCs w:val="20"/>
          <w:color w:val="auto"/>
        </w:rPr>
      </w:pPr>
    </w:p>
    <w:p>
      <w:pPr>
        <w:ind w:right="320" w:firstLine="391"/>
        <w:spacing w:after="0" w:line="253" w:lineRule="auto"/>
        <w:rPr>
          <w:sz w:val="20"/>
          <w:szCs w:val="20"/>
          <w:color w:val="auto"/>
        </w:rPr>
      </w:pPr>
      <w:r>
        <w:rPr>
          <w:rFonts w:ascii="Arial" w:cs="Arial" w:eastAsia="Arial" w:hAnsi="Arial"/>
          <w:sz w:val="16"/>
          <w:szCs w:val="16"/>
          <w:color w:val="auto"/>
        </w:rPr>
        <w:t>We carry all-risk property insurance on our properties including those under development. Insurance coverage mitigates the impact to BXP from losses associated with natural catastrophes, such as floods, fires, earthquakes and wind events.</w:t>
      </w:r>
    </w:p>
    <w:p>
      <w:pPr>
        <w:spacing w:after="0" w:line="134" w:lineRule="exact"/>
        <w:rPr>
          <w:sz w:val="20"/>
          <w:szCs w:val="20"/>
          <w:color w:val="auto"/>
        </w:rPr>
      </w:pPr>
    </w:p>
    <w:p>
      <w:pPr>
        <w:ind w:right="360" w:firstLine="391"/>
        <w:spacing w:after="0" w:line="250" w:lineRule="auto"/>
        <w:rPr>
          <w:sz w:val="20"/>
          <w:szCs w:val="20"/>
          <w:color w:val="auto"/>
        </w:rPr>
      </w:pPr>
      <w:r>
        <w:rPr>
          <w:rFonts w:ascii="Arial" w:cs="Arial" w:eastAsia="Arial" w:hAnsi="Arial"/>
          <w:sz w:val="16"/>
          <w:szCs w:val="16"/>
          <w:color w:val="auto"/>
        </w:rPr>
        <w:t>We are preparing for long-term climate risk by considering climate change scenarios and expect that we will continue to assess climate change vulnerabilities resulting from potential future climate scenarios and sea-level rise. We will continue to evaluate existing plans and procedures and proactively implement practical, cost-effective resiliency measures and infrastructure enhancements, including:</w:t>
      </w:r>
    </w:p>
    <w:p>
      <w:pPr>
        <w:spacing w:after="0" w:line="77" w:lineRule="exact"/>
        <w:rPr>
          <w:sz w:val="20"/>
          <w:szCs w:val="20"/>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Business Continuity Plans</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Emergency Response and Life Safety Plans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Emergency Evacuation Planning, Procedures and Drills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Client Engagement and Coordination</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Life Safety Analysis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Elevation of vault, switchgear and critical equipment during new development</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Waterproofing of subgrade infrastructure</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Floodable first floors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Temporary flood barriers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Backup generation, emergency lighting and fire pumps</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Onsite energy resources and distributed generation, storage and solar photovoltaic systems.</w:t>
      </w:r>
    </w:p>
    <w:p>
      <w:pPr>
        <w:spacing w:after="0" w:line="148"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We are managing transition risks by benchmarking energy, carbon, water and waste performance at the asset level and are prioritizing interventions at underperforming assets. We develop, operate and maintain a large portfolio of buildings that are LEED, ENERGY STAR and/or Fitwel certified. As of December 31, 2022, 85% of our actively managed portfolio was certified under one or more of these frameworks. As a leader in green building, we will continue to make investments in building performance, energy efficiency and decarbonization.</w:t>
      </w:r>
    </w:p>
    <w:p>
      <w:pPr>
        <w:spacing w:after="0" w:line="137" w:lineRule="exact"/>
        <w:rPr>
          <w:sz w:val="20"/>
          <w:szCs w:val="20"/>
          <w:color w:val="auto"/>
        </w:rPr>
      </w:pPr>
    </w:p>
    <w:p>
      <w:pPr>
        <w:ind w:right="220" w:firstLine="391"/>
        <w:spacing w:after="0" w:line="249" w:lineRule="auto"/>
        <w:rPr>
          <w:sz w:val="20"/>
          <w:szCs w:val="20"/>
          <w:color w:val="auto"/>
        </w:rPr>
      </w:pPr>
      <w:r>
        <w:rPr>
          <w:rFonts w:ascii="Arial" w:cs="Arial" w:eastAsia="Arial" w:hAnsi="Arial"/>
          <w:sz w:val="16"/>
          <w:szCs w:val="16"/>
          <w:color w:val="auto"/>
        </w:rPr>
        <w:t>Through our climate action efforts, we believe we can play a leading role in advancing the transition to a low-carbon economy and are taking action to decarbonize operations. GHG sources include the generated electricity and steam at offsite generation facilities, the onsite combustion of fuels (e.g., natural gas), and emissions associated with other business activities, including business travel and new development. We continue to explore and implement creative and cost-effective measures that reduce GHG emissions from our operations.</w:t>
      </w:r>
    </w:p>
    <w:p>
      <w:pPr>
        <w:spacing w:after="0" w:line="13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BXP became a proud signatory of the We Are Still In pledge after the U.S. withdrawal from the Paris Agreement and has aligned emissions reduction targets with climate science. The SBTi Target Validation Team has classified BXP’s emissions reduction target ambition and has determined that it is in line with a 1.5°C trajectory, the most ambitious designation available at the time of submission. We are committed to achieving carbon-neutral operations, or net-zero carbon dioxide equivalent emissions, which includes direct and indirect Scope 1 and Scope 2 GHG emission, by 2025 from our occupied and actively managed buildings where we have operational control.</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BXP’s Carbon-Neutral Operations Strategy</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strategy to achieve carbon-neutral operations includes the following goals:</w:t>
      </w:r>
    </w:p>
    <w:p>
      <w:pPr>
        <w:spacing w:after="0" w:line="89" w:lineRule="exact"/>
        <w:rPr>
          <w:sz w:val="20"/>
          <w:szCs w:val="20"/>
          <w:color w:val="auto"/>
        </w:rPr>
      </w:pPr>
    </w:p>
    <w:p>
      <w:pPr>
        <w:ind w:left="840" w:right="80" w:hanging="276"/>
        <w:spacing w:after="0" w:line="253" w:lineRule="auto"/>
        <w:tabs>
          <w:tab w:leader="none" w:pos="832"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Energy Efficient Operations – Approximately 1/3 of total carbon reductions by 2025 (below a 2008 base year) from energy conservation and efficient operations.</w:t>
      </w:r>
    </w:p>
    <w:p>
      <w:pPr>
        <w:spacing w:after="0" w:line="74" w:lineRule="exact"/>
        <w:rPr>
          <w:rFonts w:ascii="Arial" w:cs="Arial" w:eastAsia="Arial" w:hAnsi="Arial"/>
          <w:sz w:val="16"/>
          <w:szCs w:val="16"/>
          <w:i w:val="1"/>
          <w:iCs w:val="1"/>
          <w:color w:val="auto"/>
        </w:rPr>
      </w:pPr>
    </w:p>
    <w:p>
      <w:pPr>
        <w:ind w:left="840" w:right="60" w:hanging="276"/>
        <w:spacing w:after="0" w:line="253" w:lineRule="auto"/>
        <w:tabs>
          <w:tab w:leader="none" w:pos="832"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Renewable Energy – Advancement of onsite development of renewable energy systems and sourcing offsite renewable energy to meet 100% of our electricity needs by 2025.</w:t>
      </w:r>
    </w:p>
    <w:p>
      <w:pPr>
        <w:spacing w:after="0" w:line="62" w:lineRule="exact"/>
        <w:rPr>
          <w:rFonts w:ascii="Arial" w:cs="Arial" w:eastAsia="Arial" w:hAnsi="Arial"/>
          <w:sz w:val="16"/>
          <w:szCs w:val="16"/>
          <w:i w:val="1"/>
          <w:iCs w:val="1"/>
          <w:color w:val="auto"/>
        </w:rPr>
      </w:pPr>
    </w:p>
    <w:p>
      <w:pPr>
        <w:ind w:left="840" w:right="200" w:hanging="276"/>
        <w:spacing w:after="0" w:line="253" w:lineRule="auto"/>
        <w:tabs>
          <w:tab w:leader="none" w:pos="832"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Electrification – Explore and advance electrification, prioritizing electrification of new developments and replacement of onsite gas-fired systems at existing buildings at the end of their useful lives.</w:t>
      </w:r>
    </w:p>
    <w:p>
      <w:pPr>
        <w:spacing w:after="0" w:line="74" w:lineRule="exact"/>
        <w:rPr>
          <w:rFonts w:ascii="Arial" w:cs="Arial" w:eastAsia="Arial" w:hAnsi="Arial"/>
          <w:sz w:val="16"/>
          <w:szCs w:val="16"/>
          <w:i w:val="1"/>
          <w:iCs w:val="1"/>
          <w:color w:val="auto"/>
        </w:rPr>
      </w:pPr>
    </w:p>
    <w:p>
      <w:pPr>
        <w:ind w:left="840" w:hanging="276"/>
        <w:spacing w:after="0"/>
        <w:tabs>
          <w:tab w:leader="none" w:pos="84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Carbon Offsets – To the extent necessary, offset any remaining emissions during the transition to carbon-free energy.</w:t>
      </w:r>
    </w:p>
    <w:p>
      <w:pPr>
        <w:spacing w:after="0" w:line="148"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The resilience of our markets may depend on the action taken by cities to adapt transportation, energy, and communication infrastructure for extreme heat, weather events, sea-level rise and flooding. We will continue to encourage the adaptation of our cities and management of physical and transition risks by maintaining a voice in policy decision-making at the local level through direct engagement and/or advocacy through collective membership-based groups.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Ø Metrics</w:t>
      </w:r>
    </w:p>
    <w:p>
      <w:pPr>
        <w:spacing w:after="0" w:line="89" w:lineRule="exact"/>
        <w:rPr>
          <w:sz w:val="20"/>
          <w:szCs w:val="20"/>
          <w:color w:val="auto"/>
        </w:rPr>
      </w:pPr>
    </w:p>
    <w:p>
      <w:pPr>
        <w:ind w:left="360" w:right="20" w:firstLine="391"/>
        <w:spacing w:after="0" w:line="248" w:lineRule="auto"/>
        <w:rPr>
          <w:sz w:val="20"/>
          <w:szCs w:val="20"/>
          <w:color w:val="auto"/>
        </w:rPr>
      </w:pPr>
      <w:r>
        <w:rPr>
          <w:rFonts w:ascii="Arial" w:cs="Arial" w:eastAsia="Arial" w:hAnsi="Arial"/>
          <w:sz w:val="16"/>
          <w:szCs w:val="16"/>
          <w:color w:val="auto"/>
        </w:rPr>
        <w:t>We closely monitor energy consumption and associated GHG emissions and provide detailed accounting of ESG key performance indicators in our annual ESG reporting. As of the end of 2021, the combined impacts of efficiency measures, renewable energy and reduced physical occupancy due to the COVID-19 pandemic resulted in a 41% decrease in energy use intensity and an over 70% reduction in Scope 1 and Scope 2 GHG emissions intensity below a 2008 base year. BXP’s carbon-neutral commitment includes direct and indirect Scope 1 and Scope 2 emissions from our actively managed portfolio where we have operational control. Scope 1 and Scope 2 emissions include emissions associated with total landlord-controlled energy use. Scope 1 emissions include all emissions associated with the onsite combustion of fossil fuels for heating, hot water and standby generators. Scope 2 emissions include all emissions associated with the offsite generation of electricity and steam. As our business continues to grow, carbon reduction targets and the transparent disclosure of ESG metrics will remain a priority.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Reporting</w:t>
      </w:r>
    </w:p>
    <w:p>
      <w:pPr>
        <w:spacing w:after="0" w:line="93"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A notable part of our commitment to sustainable development and operations is our commitment to transparent reporting of ESG performance indicators, as we recognize the importance of this information to investors, lenders and others in understanding how BXP assesses sustainability information and evaluates risks and opportunities. We publish an annual ESG report that is aligned with the Global Reporting Initiative (GRI) Framework, United Nations Sustainable Development Goals and the SASB Framework. BXP’s ESG Report includes our strategy, key performance indicators, annual like-for-like comparisons, and achievements. The report is available on our website at http://www.bxp.com under the heading “Commitment.” Our annual ESG reports, including all of our energy, water and emissions metrics included therein, are assured by an independent, third-party assurance expert. The assurance expert performs an independent verification for certain of our ESG performance indicators and issues an opinion, which is attached to each ESG report, that opines on each ESG report’s inclusiveness, materiality, sustainability context, completeness, and reliability.</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have been an active participant in the green bond market since 2018, which provides access to sustainability-focused investors interested in the positive environmental externalities of our business activities. Since 2018, BPLP has issued an aggregate of $4.3 billion of green bonds in five separate offerings. The terms of the green bonds have restrictions that limit our allocation of the net proceeds to “eligible green projects.” We publish Green Bond Allocation Reports disclosing the full or partial allocation, as applicable, of net proceeds from the green bond offerings to eligible green projects. We have published four Green Bond Allocation Reports that fully allocate more than $3.5 billion in net proceeds to eligible green projects. The Green Bond Allocation Reports are available on our website at http://www.bxp.com under the heading “Commitment.” We expect to publish a Green Bond Allocation Report to allocate net proceeds from our most recent November 2022 green bond offering in the fourth quarter of 2023.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391"/>
        <w:spacing w:after="0" w:line="253" w:lineRule="auto"/>
        <w:rPr>
          <w:sz w:val="20"/>
          <w:szCs w:val="20"/>
          <w:color w:val="auto"/>
        </w:rPr>
      </w:pPr>
      <w:r>
        <w:rPr>
          <w:rFonts w:ascii="Arial" w:cs="Arial" w:eastAsia="Arial" w:hAnsi="Arial"/>
          <w:sz w:val="16"/>
          <w:szCs w:val="16"/>
          <w:color w:val="auto"/>
        </w:rPr>
        <w:t>Except for the documents specifically incorporated by reference into this Annual Report on Form 10-K, the information contained on our website or that can be accessed through our website is not incorporated by reference into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Human </w:t>
      </w:r>
      <w:r>
        <w:rPr>
          <w:rFonts w:ascii="Arial" w:cs="Arial" w:eastAsia="Arial" w:hAnsi="Arial"/>
          <w:sz w:val="16"/>
          <w:szCs w:val="16"/>
          <w:b w:val="1"/>
          <w:bCs w:val="1"/>
          <w:color w:val="040303"/>
        </w:rPr>
        <w:t>Capital Management</w:t>
      </w:r>
    </w:p>
    <w:p>
      <w:pPr>
        <w:spacing w:after="0" w:line="9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Our culture supports and nurtures our employees. Our employees are a significant distinguishing factor that sets BXP apart. As of December 31, 2022, we had 675 non-union employees (we had 780 employees, inclusive of union employees). All data provided in this Human Capital Management section refers to BXP’s non-union employee workforce as the unions control primary aspects of the hiring process. Our operational and financial performance depends on their talents, energy, experience and well-being. Our ability to attract and retain talented people depends on a number of factors, including work environment, career development and professional training, compensation and benefits, and the health, safety and wellness of our employees. We have an established reputation for excellence and integrity and these core values are inherent in our culture and play a critical role in achieving our goals and overall success.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Diversity, Equity &amp; Inclusion</w:t>
      </w:r>
    </w:p>
    <w:p>
      <w:pPr>
        <w:spacing w:after="0" w:line="105"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We strive to create a diverse and inclusive workplace. It has been, and will continue to be, our policy to recruit, hire, assign, promote and train in all job titles without regard to race, national origin, religion, age, color, sex, sexual orientation, gender identity, disability, protected veteran status, or any other characteristic protected by local, state, or federal laws, rules, or regulations. By implementing this policy, we aim to ensure that all employees have the opportunity to make their maximum contribution to us and to their own career goals.</w:t>
      </w:r>
    </w:p>
    <w:p>
      <w:pPr>
        <w:spacing w:after="0" w:line="137"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BXP’s Diversity, Equity &amp; Inclusion Council (the “DEI Council”) is an executive-sponsored, voluntary and employee-led committee unified by BXP’s mission to promote diversity, equity, inclusion and transparency as part of our organization’s culture, decision-making practices and business activities, while also providing a mechanism for positive impact in the communities in which we operate. Since its formation in 2020, the DEI Council has grown to over 33 Council members across our six regions, and each member contributes to the overall mission through leadership in one or more of the DEI Council’s three committees – the Recruiting &amp; Development Committee, the Company Policies Committee and the Community Outreach Committee – and/or three employee resource groups (“ERGs”). Including ERG members, as of December 31, 2022, BXP’s DEI community consisted of 244 members, or 36% of BXP’s workforce.</w:t>
      </w:r>
    </w:p>
    <w:p>
      <w:pPr>
        <w:spacing w:after="0" w:line="139" w:lineRule="exact"/>
        <w:rPr>
          <w:sz w:val="20"/>
          <w:szCs w:val="20"/>
          <w:color w:val="auto"/>
        </w:rPr>
      </w:pPr>
    </w:p>
    <w:p>
      <w:pPr>
        <w:jc w:val="both"/>
        <w:ind w:right="120" w:firstLine="391"/>
        <w:spacing w:after="0" w:line="250" w:lineRule="auto"/>
        <w:rPr>
          <w:sz w:val="20"/>
          <w:szCs w:val="20"/>
          <w:color w:val="auto"/>
        </w:rPr>
      </w:pPr>
      <w:r>
        <w:rPr>
          <w:rFonts w:ascii="Arial" w:cs="Arial" w:eastAsia="Arial" w:hAnsi="Arial"/>
          <w:sz w:val="16"/>
          <w:szCs w:val="16"/>
          <w:color w:val="auto"/>
        </w:rPr>
        <w:t>The DEI Council in collaboration with BXP’s CEO, President and Human Resources Department annually identify actionable diversity goals and proposes initiatives to advance its mission. In 2022, the DEI Council’s focus areas were: (1) training and workforce education, (2) recruiting and onboarding, (3) employee engagement, (4) social responsibility, (5) transparency and communication and (6) governance. BXP’s notable achievements for 2022 include:</w:t>
      </w:r>
    </w:p>
    <w:p>
      <w:pPr>
        <w:spacing w:after="0" w:line="128" w:lineRule="exact"/>
        <w:rPr>
          <w:sz w:val="20"/>
          <w:szCs w:val="20"/>
          <w:color w:val="auto"/>
        </w:rPr>
      </w:pPr>
    </w:p>
    <w:p>
      <w:pPr>
        <w:ind w:left="560" w:hanging="281"/>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Training &amp; Workforce Education</w:t>
      </w:r>
    </w:p>
    <w:p>
      <w:pPr>
        <w:spacing w:after="0" w:line="108" w:lineRule="exact"/>
        <w:rPr>
          <w:rFonts w:ascii="Arial" w:cs="Arial" w:eastAsia="Arial" w:hAnsi="Arial"/>
          <w:sz w:val="16"/>
          <w:szCs w:val="16"/>
          <w:color w:val="auto"/>
        </w:rPr>
      </w:pPr>
    </w:p>
    <w:p>
      <w:pPr>
        <w:ind w:left="1120" w:hanging="272"/>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Conducted a two-part training for DEI Council members to enhance DEI leadership skills</w:t>
      </w:r>
    </w:p>
    <w:p>
      <w:pPr>
        <w:spacing w:after="0" w:line="76" w:lineRule="exact"/>
        <w:rPr>
          <w:rFonts w:ascii="Arial" w:cs="Arial" w:eastAsia="Arial" w:hAnsi="Arial"/>
          <w:sz w:val="16"/>
          <w:szCs w:val="16"/>
          <w:color w:val="auto"/>
        </w:rPr>
      </w:pPr>
    </w:p>
    <w:p>
      <w:pPr>
        <w:ind w:left="1140" w:right="140" w:hanging="292"/>
        <w:spacing w:after="0" w:line="250"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Continued cultural awareness education for the BXP workforce through interactive DEI event offerings, consistent communications with educational content regarding cultural holidays and awareness months and collaboration with property management teams to enhance visibility of important DEI dates and celebrations across BXP’s properties</w:t>
      </w:r>
    </w:p>
    <w:p>
      <w:pPr>
        <w:spacing w:after="0" w:line="104" w:lineRule="exact"/>
        <w:rPr>
          <w:rFonts w:ascii="Arial" w:cs="Arial" w:eastAsia="Arial" w:hAnsi="Arial"/>
          <w:sz w:val="16"/>
          <w:szCs w:val="16"/>
          <w:color w:val="auto"/>
        </w:rPr>
      </w:pPr>
    </w:p>
    <w:p>
      <w:pPr>
        <w:ind w:left="560" w:hanging="281"/>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Recruiting &amp; Onboarding</w:t>
      </w:r>
    </w:p>
    <w:p>
      <w:pPr>
        <w:spacing w:after="0" w:line="108" w:lineRule="exact"/>
        <w:rPr>
          <w:rFonts w:ascii="Arial" w:cs="Arial" w:eastAsia="Arial" w:hAnsi="Arial"/>
          <w:sz w:val="16"/>
          <w:szCs w:val="16"/>
          <w:color w:val="auto"/>
        </w:rPr>
      </w:pPr>
    </w:p>
    <w:p>
      <w:pPr>
        <w:ind w:left="1120" w:hanging="272"/>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57% women and 39% ethnically diverse new hires in 2022</w:t>
      </w:r>
    </w:p>
    <w:p>
      <w:pPr>
        <w:spacing w:after="0" w:line="76" w:lineRule="exact"/>
        <w:rPr>
          <w:rFonts w:ascii="Arial" w:cs="Arial" w:eastAsia="Arial" w:hAnsi="Arial"/>
          <w:sz w:val="16"/>
          <w:szCs w:val="16"/>
          <w:color w:val="auto"/>
        </w:rPr>
      </w:pPr>
    </w:p>
    <w:p>
      <w:pPr>
        <w:ind w:left="1120" w:hanging="272"/>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4.5% increase in ethnically diverse employees and 6.5% increase in ethnically diverse officers compared to the 2020 base year</w:t>
      </w:r>
    </w:p>
    <w:p>
      <w:pPr>
        <w:spacing w:after="0" w:line="88" w:lineRule="exact"/>
        <w:rPr>
          <w:rFonts w:ascii="Arial" w:cs="Arial" w:eastAsia="Arial" w:hAnsi="Arial"/>
          <w:sz w:val="16"/>
          <w:szCs w:val="16"/>
          <w:color w:val="auto"/>
        </w:rPr>
      </w:pPr>
    </w:p>
    <w:p>
      <w:pPr>
        <w:ind w:left="1120" w:hanging="272"/>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2.0% increase in women employees and 9.0% increase in women officers compared to the 2020 base year</w:t>
      </w:r>
    </w:p>
    <w:p>
      <w:pPr>
        <w:spacing w:after="0" w:line="88" w:lineRule="exact"/>
        <w:rPr>
          <w:rFonts w:ascii="Arial" w:cs="Arial" w:eastAsia="Arial" w:hAnsi="Arial"/>
          <w:sz w:val="16"/>
          <w:szCs w:val="16"/>
          <w:color w:val="auto"/>
        </w:rPr>
      </w:pPr>
    </w:p>
    <w:p>
      <w:pPr>
        <w:ind w:left="1140" w:right="960" w:hanging="292"/>
        <w:spacing w:after="0" w:line="253"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Launched partnerships with CareerSpring and Project Destined to further enhance BXP’s community involvement, BXP employees’ volunteerism, as well as expand BXP’s diverse candidate pools to include program alumni and young professionals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140" w:right="60" w:hanging="292"/>
        <w:spacing w:after="0" w:line="253"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Contracted with recruiting firms with intentionality to include women- and/or minority-owned businesses or businesses with DEI programs, which represented, as of December 2022, approximately 50% of BXP’s contracted recruiting firms</w:t>
      </w:r>
    </w:p>
    <w:p>
      <w:pPr>
        <w:spacing w:after="0" w:line="89" w:lineRule="exact"/>
        <w:rPr>
          <w:rFonts w:ascii="Arial" w:cs="Arial" w:eastAsia="Arial" w:hAnsi="Arial"/>
          <w:sz w:val="16"/>
          <w:szCs w:val="16"/>
          <w:color w:val="auto"/>
        </w:rPr>
      </w:pPr>
    </w:p>
    <w:p>
      <w:pPr>
        <w:ind w:left="560" w:hanging="281"/>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Employee Engagement</w:t>
      </w:r>
    </w:p>
    <w:p>
      <w:pPr>
        <w:spacing w:after="0" w:line="108" w:lineRule="exact"/>
        <w:rPr>
          <w:rFonts w:ascii="Arial" w:cs="Arial" w:eastAsia="Arial" w:hAnsi="Arial"/>
          <w:sz w:val="16"/>
          <w:szCs w:val="16"/>
          <w:color w:val="auto"/>
        </w:rPr>
      </w:pPr>
    </w:p>
    <w:p>
      <w:pPr>
        <w:ind w:left="1140" w:hanging="292"/>
        <w:spacing w:after="0" w:line="250"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Launched three ERGs designed to connect employees who have similar backgrounds and shared experiences with the goal of working with BXP on diversity, equity and inclusion, bringing people together to share experiences and best practices, and ensuring that we are supporting each other across our communities</w:t>
      </w:r>
    </w:p>
    <w:p>
      <w:pPr>
        <w:spacing w:after="0" w:line="76" w:lineRule="exact"/>
        <w:rPr>
          <w:rFonts w:ascii="Arial" w:cs="Arial" w:eastAsia="Arial" w:hAnsi="Arial"/>
          <w:sz w:val="16"/>
          <w:szCs w:val="16"/>
          <w:color w:val="auto"/>
        </w:rPr>
      </w:pPr>
    </w:p>
    <w:p>
      <w:pPr>
        <w:ind w:left="1120" w:hanging="272"/>
        <w:spacing w:after="0"/>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Participation rate across BXP for the ERGs’ inaugural year totaled approximately 25% of all employees</w:t>
      </w:r>
    </w:p>
    <w:p>
      <w:pPr>
        <w:spacing w:after="0" w:line="104" w:lineRule="exact"/>
        <w:rPr>
          <w:rFonts w:ascii="Arial" w:cs="Arial" w:eastAsia="Arial" w:hAnsi="Arial"/>
          <w:sz w:val="16"/>
          <w:szCs w:val="16"/>
          <w:color w:val="auto"/>
        </w:rPr>
      </w:pPr>
    </w:p>
    <w:p>
      <w:pPr>
        <w:ind w:left="560" w:hanging="281"/>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Social Responsibility</w:t>
      </w:r>
    </w:p>
    <w:p>
      <w:pPr>
        <w:spacing w:after="0" w:line="108" w:lineRule="exact"/>
        <w:rPr>
          <w:rFonts w:ascii="Arial" w:cs="Arial" w:eastAsia="Arial" w:hAnsi="Arial"/>
          <w:sz w:val="16"/>
          <w:szCs w:val="16"/>
          <w:color w:val="auto"/>
        </w:rPr>
      </w:pPr>
    </w:p>
    <w:p>
      <w:pPr>
        <w:ind w:left="1120" w:hanging="272"/>
        <w:spacing w:after="0"/>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Continued to facilitate relationships with minority-owned businesses to provide commercial real estate space</w:t>
      </w:r>
    </w:p>
    <w:p>
      <w:pPr>
        <w:spacing w:after="0" w:line="88" w:lineRule="exact"/>
        <w:rPr>
          <w:rFonts w:ascii="Arial" w:cs="Arial" w:eastAsia="Arial" w:hAnsi="Arial"/>
          <w:sz w:val="16"/>
          <w:szCs w:val="16"/>
          <w:color w:val="auto"/>
        </w:rPr>
      </w:pPr>
    </w:p>
    <w:p>
      <w:pPr>
        <w:ind w:left="1140" w:right="300" w:hanging="292"/>
        <w:spacing w:after="0" w:line="253"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Conducted a comprehensive review of vendors identified as underrepresented business enterprises (“UBEs”) with the aim of increasing UBE usage by BXP resulting in a 34% year-over-year increase in UBE usage compared to 2021</w:t>
      </w:r>
    </w:p>
    <w:p>
      <w:pPr>
        <w:spacing w:after="0" w:line="62" w:lineRule="exact"/>
        <w:rPr>
          <w:rFonts w:ascii="Arial" w:cs="Arial" w:eastAsia="Arial" w:hAnsi="Arial"/>
          <w:sz w:val="16"/>
          <w:szCs w:val="16"/>
          <w:color w:val="auto"/>
        </w:rPr>
      </w:pPr>
    </w:p>
    <w:p>
      <w:pPr>
        <w:ind w:left="1140" w:right="160" w:hanging="292"/>
        <w:spacing w:after="0" w:line="253"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Commenced a new depository relationship with a Black-owned bank and continued our partnership with a minority- and women-owned bank in our 2022 unsecured notes offering</w:t>
      </w:r>
    </w:p>
    <w:p>
      <w:pPr>
        <w:spacing w:after="0" w:line="74" w:lineRule="exact"/>
        <w:rPr>
          <w:rFonts w:ascii="Arial" w:cs="Arial" w:eastAsia="Arial" w:hAnsi="Arial"/>
          <w:sz w:val="16"/>
          <w:szCs w:val="16"/>
          <w:color w:val="auto"/>
        </w:rPr>
      </w:pPr>
    </w:p>
    <w:p>
      <w:pPr>
        <w:ind w:left="1120" w:hanging="272"/>
        <w:spacing w:after="0"/>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Increased community involvement through, among other efforts, regional charitable contributions to DEI-associated initiatives in our regions</w:t>
      </w:r>
    </w:p>
    <w:p>
      <w:pPr>
        <w:spacing w:after="0" w:line="115" w:lineRule="exact"/>
        <w:rPr>
          <w:rFonts w:ascii="Arial" w:cs="Arial" w:eastAsia="Arial" w:hAnsi="Arial"/>
          <w:sz w:val="16"/>
          <w:szCs w:val="16"/>
          <w:color w:val="auto"/>
        </w:rPr>
      </w:pPr>
    </w:p>
    <w:p>
      <w:pPr>
        <w:ind w:left="560" w:hanging="281"/>
        <w:spacing w:after="0"/>
        <w:tabs>
          <w:tab w:leader="none" w:pos="5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Transparency &amp; Communication</w:t>
      </w:r>
    </w:p>
    <w:p>
      <w:pPr>
        <w:spacing w:after="0" w:line="96" w:lineRule="exact"/>
        <w:rPr>
          <w:rFonts w:ascii="Arial" w:cs="Arial" w:eastAsia="Arial" w:hAnsi="Arial"/>
          <w:sz w:val="16"/>
          <w:szCs w:val="16"/>
          <w:b w:val="1"/>
          <w:bCs w:val="1"/>
          <w:color w:val="auto"/>
        </w:rPr>
      </w:pPr>
    </w:p>
    <w:p>
      <w:pPr>
        <w:ind w:left="1140" w:right="280" w:hanging="292"/>
        <w:spacing w:after="0" w:line="253"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Dedicated a company-wide Town Hall discussion to BXP’s DEI initiatives, achievements and future programming led by the DEI Council’s co-chairs</w:t>
      </w:r>
    </w:p>
    <w:p>
      <w:pPr>
        <w:spacing w:after="0" w:line="74" w:lineRule="exact"/>
        <w:rPr>
          <w:rFonts w:ascii="Arial" w:cs="Arial" w:eastAsia="Arial" w:hAnsi="Arial"/>
          <w:sz w:val="16"/>
          <w:szCs w:val="16"/>
          <w:color w:val="auto"/>
        </w:rPr>
      </w:pPr>
    </w:p>
    <w:p>
      <w:pPr>
        <w:ind w:left="1120" w:hanging="272"/>
        <w:spacing w:after="0"/>
        <w:tabs>
          <w:tab w:leader="none" w:pos="11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Launched DEI Council page on BXP’s internal portal that provides DEI resources and announces future events, initiatives and other information</w:t>
      </w:r>
    </w:p>
    <w:p>
      <w:pPr>
        <w:spacing w:after="0" w:line="127" w:lineRule="exact"/>
        <w:rPr>
          <w:rFonts w:ascii="Arial" w:cs="Arial" w:eastAsia="Arial" w:hAnsi="Arial"/>
          <w:sz w:val="15"/>
          <w:szCs w:val="15"/>
          <w:color w:val="auto"/>
        </w:rPr>
      </w:pPr>
    </w:p>
    <w:p>
      <w:pPr>
        <w:ind w:left="560" w:hanging="281"/>
        <w:spacing w:after="0"/>
        <w:tabs>
          <w:tab w:leader="none" w:pos="5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Governance</w:t>
      </w:r>
    </w:p>
    <w:p>
      <w:pPr>
        <w:spacing w:after="0" w:line="96" w:lineRule="exact"/>
        <w:rPr>
          <w:rFonts w:ascii="Arial" w:cs="Arial" w:eastAsia="Arial" w:hAnsi="Arial"/>
          <w:sz w:val="16"/>
          <w:szCs w:val="16"/>
          <w:b w:val="1"/>
          <w:bCs w:val="1"/>
          <w:color w:val="auto"/>
        </w:rPr>
      </w:pPr>
    </w:p>
    <w:p>
      <w:pPr>
        <w:ind w:left="1120" w:hanging="272"/>
        <w:spacing w:after="0"/>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Formalized charters and mission statements for the DEI Council and each ERG</w:t>
      </w:r>
    </w:p>
    <w:p>
      <w:pPr>
        <w:spacing w:after="0" w:line="88" w:lineRule="exact"/>
        <w:rPr>
          <w:rFonts w:ascii="Arial" w:cs="Arial" w:eastAsia="Arial" w:hAnsi="Arial"/>
          <w:sz w:val="16"/>
          <w:szCs w:val="16"/>
          <w:color w:val="auto"/>
        </w:rPr>
      </w:pPr>
    </w:p>
    <w:p>
      <w:pPr>
        <w:ind w:left="1140" w:right="100" w:hanging="292"/>
        <w:spacing w:after="0" w:line="253"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Undertook a voluntary refreshment process of DEI Council members to ensure appropriate representation across backgrounds, experience and regions that resulted in a 55% increase in DEI Council membership since its formation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Diversity, Equity &amp; Inclusion at BXP</w:t>
      </w:r>
      <w:r>
        <w:rPr>
          <w:rFonts w:ascii="Arial" w:cs="Arial" w:eastAsia="Arial" w:hAnsi="Arial"/>
          <w:sz w:val="20"/>
          <w:szCs w:val="20"/>
          <w:color w:val="auto"/>
          <w:vertAlign w:val="superscript"/>
        </w:rPr>
        <w:t>(1)</w:t>
      </w:r>
    </w:p>
    <w:p>
      <w:pPr>
        <w:spacing w:after="0" w:line="172" w:lineRule="exact"/>
        <w:rPr>
          <w:sz w:val="20"/>
          <w:szCs w:val="20"/>
          <w:color w:val="auto"/>
        </w:rPr>
      </w:pPr>
    </w:p>
    <w:p>
      <w:pPr>
        <w:ind w:left="2260"/>
        <w:spacing w:after="0"/>
        <w:tabs>
          <w:tab w:leader="none" w:pos="4940" w:val="left"/>
          <w:tab w:leader="none" w:pos="7560" w:val="left"/>
        </w:tabs>
        <w:rPr>
          <w:sz w:val="20"/>
          <w:szCs w:val="20"/>
          <w:color w:val="auto"/>
        </w:rPr>
      </w:pPr>
      <w:r>
        <w:rPr>
          <w:rFonts w:ascii="Arial" w:cs="Arial" w:eastAsia="Arial" w:hAnsi="Arial"/>
          <w:sz w:val="16"/>
          <w:szCs w:val="16"/>
          <w:b w:val="1"/>
          <w:bCs w:val="1"/>
          <w:color w:val="6D6D6D"/>
        </w:rPr>
        <w:t>TOTAL WORKFORCE</w:t>
      </w:r>
      <w:r>
        <w:rPr>
          <w:rFonts w:ascii="Arial" w:cs="Arial" w:eastAsia="Arial" w:hAnsi="Arial"/>
          <w:sz w:val="20"/>
          <w:szCs w:val="20"/>
          <w:b w:val="1"/>
          <w:bCs w:val="1"/>
          <w:color w:val="6D6D6D"/>
          <w:vertAlign w:val="superscript"/>
        </w:rPr>
        <w:t>(2)(3)</w:t>
      </w:r>
      <w:r>
        <w:rPr>
          <w:sz w:val="20"/>
          <w:szCs w:val="20"/>
          <w:color w:val="auto"/>
        </w:rPr>
        <w:tab/>
      </w:r>
      <w:r>
        <w:rPr>
          <w:rFonts w:ascii="Arial" w:cs="Arial" w:eastAsia="Arial" w:hAnsi="Arial"/>
          <w:sz w:val="16"/>
          <w:szCs w:val="16"/>
          <w:b w:val="1"/>
          <w:bCs w:val="1"/>
          <w:color w:val="6D6D6D"/>
        </w:rPr>
        <w:t>MANAGER &amp; ABOVE</w:t>
      </w:r>
      <w:r>
        <w:rPr>
          <w:rFonts w:ascii="Arial" w:cs="Arial" w:eastAsia="Arial" w:hAnsi="Arial"/>
          <w:sz w:val="20"/>
          <w:szCs w:val="20"/>
          <w:b w:val="1"/>
          <w:bCs w:val="1"/>
          <w:color w:val="6D6D6D"/>
          <w:vertAlign w:val="superscript"/>
        </w:rPr>
        <w:t>(2)(3)</w:t>
      </w:r>
      <w:r>
        <w:rPr>
          <w:sz w:val="20"/>
          <w:szCs w:val="20"/>
          <w:color w:val="auto"/>
        </w:rPr>
        <w:tab/>
      </w:r>
      <w:r>
        <w:rPr>
          <w:rFonts w:ascii="Arial" w:cs="Arial" w:eastAsia="Arial" w:hAnsi="Arial"/>
          <w:sz w:val="15"/>
          <w:szCs w:val="15"/>
          <w:b w:val="1"/>
          <w:bCs w:val="1"/>
          <w:color w:val="6D6D6D"/>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41275</wp:posOffset>
            </wp:positionV>
            <wp:extent cx="5102225" cy="2882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02225"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ind w:left="220" w:hanging="154"/>
        <w:spacing w:after="0" w:line="230" w:lineRule="auto"/>
        <w:tabs>
          <w:tab w:leader="none" w:pos="22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As of December 31, 2022. We determine race and gender based on our employees' and directors’ self-identification.</w:t>
      </w:r>
    </w:p>
    <w:p>
      <w:pPr>
        <w:spacing w:after="0" w:line="1" w:lineRule="exact"/>
        <w:rPr>
          <w:rFonts w:ascii="Arial" w:cs="Arial" w:eastAsia="Arial" w:hAnsi="Arial"/>
          <w:sz w:val="18"/>
          <w:szCs w:val="18"/>
          <w:color w:val="auto"/>
          <w:vertAlign w:val="superscript"/>
        </w:rPr>
      </w:pPr>
    </w:p>
    <w:p>
      <w:pPr>
        <w:ind w:left="200" w:right="200" w:hanging="134"/>
        <w:spacing w:after="0"/>
        <w:tabs>
          <w:tab w:leader="none" w:pos="218"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Represents percentages for all of our employees excluding union employees for which the unions control primary aspects of the hiring process; percentages do not include BXP’s non-employee directors.</w:t>
      </w:r>
    </w:p>
    <w:p>
      <w:pPr>
        <w:spacing w:after="0" w:line="77" w:lineRule="exact"/>
        <w:rPr>
          <w:rFonts w:ascii="Arial" w:cs="Arial" w:eastAsia="Arial" w:hAnsi="Arial"/>
          <w:sz w:val="18"/>
          <w:szCs w:val="18"/>
          <w:color w:val="auto"/>
          <w:vertAlign w:val="superscript"/>
        </w:rPr>
      </w:pPr>
    </w:p>
    <w:p>
      <w:pPr>
        <w:ind w:left="220" w:hanging="154"/>
        <w:spacing w:after="0" w:line="187" w:lineRule="auto"/>
        <w:tabs>
          <w:tab w:leader="none" w:pos="220"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“Other” represents American Indian/Alaskan Native, Native Hawaiian or Other Pacific Islander, two or more races and those that did not self-identify.</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040303"/>
        </w:rPr>
        <w:t>Culture &amp; Employee Engagement</w:t>
      </w:r>
    </w:p>
    <w:p>
      <w:pPr>
        <w:spacing w:after="0" w:line="105"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We believe that the success of our business is tied to the quality of our workforce, and we strive to maintain a corporate environment without losing the entrepreneurial spirit with which we were founded more than 50 years ago. By providing a quality workplace and comprehensive benefit programs, we recognize the commitment of our employees to bring their talent, energy, and experience to us. Our continued success is attributable to our employees’ expertise and dedication.</w:t>
      </w:r>
    </w:p>
    <w:p>
      <w:pPr>
        <w:spacing w:after="0" w:line="13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periodically conduct employee engagement surveys to monitor our employees’ satisfaction in different aspects of their employment, including company performance, leadership, communication, career development and benefits offerings. Past employee responsiveness to the engagement surveys has been consistently high and the results help inform us on matters that our employees view as key contributors to a positive work experience. Based on the most recent employee engagement survey conducted in 2022, with 96% responsiveness, the overall company-wide result was a “favorable” rating. The highest scoring statement on the survey with a 94% favorability score was “BXP conducts its business in accordance with the highest standards and ethical conduct.” We intend to continue to periodically evaluate employee engagement as needed on a meaningful basis.</w:t>
      </w:r>
    </w:p>
    <w:p>
      <w:pPr>
        <w:spacing w:after="0" w:line="139" w:lineRule="exact"/>
        <w:rPr>
          <w:sz w:val="20"/>
          <w:szCs w:val="20"/>
          <w:color w:val="auto"/>
        </w:rPr>
      </w:pPr>
    </w:p>
    <w:p>
      <w:pPr>
        <w:ind w:right="180" w:firstLine="391"/>
        <w:spacing w:after="0" w:line="250" w:lineRule="auto"/>
        <w:rPr>
          <w:sz w:val="20"/>
          <w:szCs w:val="20"/>
          <w:color w:val="auto"/>
        </w:rPr>
      </w:pPr>
      <w:r>
        <w:rPr>
          <w:rFonts w:ascii="Arial" w:cs="Arial" w:eastAsia="Arial" w:hAnsi="Arial"/>
          <w:sz w:val="16"/>
          <w:szCs w:val="16"/>
          <w:color w:val="auto"/>
        </w:rPr>
        <w:t>Another indicator of the success of our efforts in the workplace is the long tenure of our employees, 35% of whom have worked at BXP for ten or more years. The average tenure of our employees is approximately 9.42 years and that of our officers is 17.65 years. In 2022, our voluntary workforce turnover rate was 15%.</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Career Development &amp; Training</w:t>
      </w:r>
    </w:p>
    <w:p>
      <w:pPr>
        <w:spacing w:after="0" w:line="93"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We invest significant resources in our employees’ personal and professional growth and development and provide a wide range of tools and development opportunities that build and strengthen employees’ leadership and</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professional skills. These development opportunities include in-person and virtual training sessions, in-house learning opportunities, various management trainings, departmental conferences, executive townhalls and external programs. We foster an environment of growth and internal promotion and strive for a best-in-class candidate experience for our internal applicants. Open positions are posted, and employees are highly encouraged to apply for promotion within the organization. For 2022, 16% of our employees were promoted to elevated roles within our organization. Of the employees promoted, 50% were women and 29% were non-White.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Compensation &amp; Benefits</w:t>
      </w:r>
    </w:p>
    <w:p>
      <w:pPr>
        <w:spacing w:after="0" w:line="10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We designed our compensation program with the goal of providing a balanced and effective way of ensuring internal equity and market competitiveness in our pay practices. We have coupled external, market-driven data with an equitable performance review assessment tool to strike the balance that best represents our compensation strategy and links pay to performance. On an annual basis, our Human Resources department evaluates market compensation ranges for each position to ensure we are appropriately compensating our top performers. We believe this total rewards program directly aligns with our compensation and benefits strategy.</w:t>
      </w:r>
    </w:p>
    <w:p>
      <w:pPr>
        <w:spacing w:after="0" w:line="140" w:lineRule="exact"/>
        <w:rPr>
          <w:sz w:val="20"/>
          <w:szCs w:val="20"/>
          <w:color w:val="auto"/>
        </w:rPr>
      </w:pPr>
    </w:p>
    <w:p>
      <w:pPr>
        <w:ind w:right="320" w:firstLine="391"/>
        <w:spacing w:after="0" w:line="25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color w:val="040303"/>
        </w:rPr>
        <w:t>employee benefit programs are designed to meet the needs of our diverse workforce, support our employees and their families by offering</w:t>
      </w:r>
      <w:r>
        <w:rPr>
          <w:rFonts w:ascii="Arial" w:cs="Arial" w:eastAsia="Arial" w:hAnsi="Arial"/>
          <w:sz w:val="16"/>
          <w:szCs w:val="16"/>
          <w:color w:val="auto"/>
        </w:rPr>
        <w:t xml:space="preserve"> </w:t>
      </w:r>
      <w:r>
        <w:rPr>
          <w:rFonts w:ascii="Arial" w:cs="Arial" w:eastAsia="Arial" w:hAnsi="Arial"/>
          <w:sz w:val="16"/>
          <w:szCs w:val="16"/>
          <w:color w:val="040303"/>
        </w:rPr>
        <w:t xml:space="preserve">comprehensive and competitive programs that provide flexibility and choice in coverage, make available </w:t>
      </w:r>
      <w:r>
        <w:rPr>
          <w:rFonts w:ascii="Arial" w:cs="Arial" w:eastAsia="Arial" w:hAnsi="Arial"/>
          <w:sz w:val="16"/>
          <w:szCs w:val="16"/>
          <w:color w:val="000000"/>
        </w:rPr>
        <w:t>valuable resources to protect and enhance financial</w:t>
      </w:r>
      <w:r>
        <w:rPr>
          <w:rFonts w:ascii="Arial" w:cs="Arial" w:eastAsia="Arial" w:hAnsi="Arial"/>
          <w:sz w:val="16"/>
          <w:szCs w:val="16"/>
          <w:color w:val="040303"/>
        </w:rPr>
        <w:t xml:space="preserve"> </w:t>
      </w:r>
      <w:r>
        <w:rPr>
          <w:rFonts w:ascii="Arial" w:cs="Arial" w:eastAsia="Arial" w:hAnsi="Arial"/>
          <w:sz w:val="16"/>
          <w:szCs w:val="16"/>
          <w:color w:val="000000"/>
        </w:rPr>
        <w:t>security and help balance work and personal life. Some of the benefits that we offer our employees include:</w:t>
      </w:r>
    </w:p>
    <w:p>
      <w:pPr>
        <w:spacing w:after="0" w:line="77" w:lineRule="exact"/>
        <w:rPr>
          <w:sz w:val="20"/>
          <w:szCs w:val="20"/>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health (including telehealth), dental and vision insurance,</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401(k) plan with a generous matching contribution,</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employee stock purchase plan,</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health care and dependent care flexible spending accounts,</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income protection through our sick pay, salary continuation and long-term disability policies and life insurance,</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scholarship program for the children of non-officer employees,</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commuter subsidy to support the use of public transportation,</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tuition reimbursement,</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paid vacation, holiday, personal and volunteer days and paid parental leave to balance work and personal life,</w:t>
      </w:r>
    </w:p>
    <w:p>
      <w:pPr>
        <w:spacing w:after="0" w:line="88"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back-up child and elder care, and</w:t>
      </w:r>
    </w:p>
    <w:p>
      <w:pPr>
        <w:spacing w:after="0" w:line="76" w:lineRule="exact"/>
        <w:rPr>
          <w:rFonts w:ascii="Arial" w:cs="Arial" w:eastAsia="Arial" w:hAnsi="Arial"/>
          <w:sz w:val="16"/>
          <w:szCs w:val="16"/>
          <w:color w:val="auto"/>
        </w:rPr>
      </w:pPr>
    </w:p>
    <w:p>
      <w:pPr>
        <w:ind w:left="640" w:hanging="21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pet insurance.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Health, Safety &amp; Wellness</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As one of the largest publicly traded premier workplace REITs (based on total market capitalization as of December 31, 2022) in the United States, we are keenly aware of the influence of buildings on human health and its importance to our clients and employees. The health, safety and security of our employees, clients, contractors and others are our highest priority. In early 2020, we convened a Health Security Task Force and developed the BXP Health Security Plan, a comprehensive set of building operational measures, to address health and safety measures in our buildings during the COVID-19 pandemic. Some components of the Health Security Plan remained applicable and in place in 2022: we continued to focus on our indoor air quality initiative and installed new indoor air quality monitoring devices across approximately 40 buildings in 2022 that provide real-time indoor air quality data, maintained enhanced air filtration in buildings and continued to conduct air and water quality testing.</w:t>
      </w:r>
    </w:p>
    <w:p>
      <w:pPr>
        <w:spacing w:after="0" w:line="139"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We believe the success of our employees is dependent upon their overall well-being, including their physical health, mental health, work-life balance and financial well-being. In addition to the benefits outlined above, we also offer our employees an Employee Wellness Program, an Employee Assistance Program and a Mental Health Well-Being Program. The Employee Wellness Program was established in 2016 to encourage employees to improve their health and well-being by offering a variety of activities and engaging content to meet individual wellness goals. Program participants receive a reduction in their health insurance deduction cost. The Employee Assistance Program includes services for childcare, eldercare, personal relationship information, financial planning assistance, stress management, mental illness and general wellness and self-help. BXP offers a premium mental health program that provides online resources and support for employees facing a wide variety of issues.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with Respect to Certain Activities</w:t>
      </w:r>
    </w:p>
    <w:p>
      <w:pPr>
        <w:spacing w:after="0" w:line="97"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The discussion below sets forth certain additional information regarding our investment, financing and other policies. These policies have been determined by BXP’s Board of Directors and, in general, may be amended or revised from time to time by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Policies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Real Estate or Interests in Real Estate</w:t>
      </w:r>
    </w:p>
    <w:p>
      <w:pPr>
        <w:spacing w:after="0" w:line="93"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Our investment objectives are to provide quarterly cash dividends/distributions to our securityholders and to achieve long-term capital appreciation through increases in our value. We have not established a specific policy regarding the relative priority of these investment objectives.</w:t>
      </w:r>
    </w:p>
    <w:p>
      <w:pPr>
        <w:spacing w:after="0" w:line="13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expect to continue to pursue our investment objectives primarily through the ownership of our current properties, development and redevelopment projects and other acquired properties. We currently intend to continue to invest primarily in developments of properties and acquisitions of existing improved properties or properties in need of redevelopment, and acquisitions of land that we believe have development potential, primarily in our existing markets of Boston, Los Angeles, New York, San Francisco, Seattle and Washington, DC. We have explored and may continue to explore for future investment in select domestic and international markets that exhibit these same traits. Future investment or development activities will not be limited to a specified percentage of our assets. We intend to engage in such future investment or development activities in a manner that is consistent with the maintenance of BXP’s status as a REIT for federal income tax purposes. In addition, we may purchase or lease income-producing commercial and other types of properties for long-term investment, expand and improve the real estate presently owned or other properties purchased, or sell such real estate properties, in whole or in part, when circumstances warrant. We do not have a policy that restricts the amount or percentage of assets that will be invested in any specific property, however, our investments may be restricted by our debt covenants.</w:t>
      </w:r>
    </w:p>
    <w:p>
      <w:pPr>
        <w:spacing w:after="0" w:line="137"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We may also continue to participate with third parties in property ownership, through joint ventures or other types of co-ownership. These investments may permit us to own interests in larger assets without unduly restricting diversification and, therefore, add flexibility in structuring our portfolio.</w:t>
      </w:r>
    </w:p>
    <w:p>
      <w:pPr>
        <w:spacing w:after="0" w:line="134"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Equity investments may be subject to existing mortgage financing and other indebtedness or such financing or indebtedness as may be incurred in connection with acquiring or refinancing these investments. Debt service on such financing or indebtedness will have a priority over any distributions with respect to BXP’s common stock. Investments are also subject to our policy not to be treated as an investment company under the Investment Company Act of 1940, as amended (the “1940 Act”).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Real Estate Mortgages</w:t>
      </w:r>
    </w:p>
    <w:p>
      <w:pPr>
        <w:spacing w:after="0" w:line="10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While our current portfolio consists primarily of, and our business objectives emphasize, equity investments in commercial real estate, we may, at the discretion of the Board of Directors of BXP, invest in mortgages and other types of real estate interests consistent with BXP’s qualification as a REIT. Investments in real estate mortgages run the risk that one or more borrowers may default under such mortgages and that the collateral securing such mortgages may not be sufficient to enable us to recoup our full investment. We may invest in participating, convertible or traditional mortgages if we conclude that we may benefit from the cash flow, or any appreciation in value of the property or as an entrance to the fee ownership. As of December 31, 2022, we had one note receivable outstanding, which was approximately $78.6 million.</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Securities of or Interests in Entities Primarily Engaged in Real Estate Activities</w:t>
      </w:r>
    </w:p>
    <w:p>
      <w:pPr>
        <w:spacing w:after="0" w:line="105" w:lineRule="exact"/>
        <w:rPr>
          <w:sz w:val="20"/>
          <w:szCs w:val="20"/>
          <w:color w:val="auto"/>
        </w:rPr>
      </w:pPr>
    </w:p>
    <w:p>
      <w:pPr>
        <w:ind w:right="280" w:firstLine="391"/>
        <w:spacing w:after="0" w:line="250" w:lineRule="auto"/>
        <w:rPr>
          <w:sz w:val="20"/>
          <w:szCs w:val="20"/>
          <w:color w:val="auto"/>
        </w:rPr>
      </w:pPr>
      <w:r>
        <w:rPr>
          <w:rFonts w:ascii="Arial" w:cs="Arial" w:eastAsia="Arial" w:hAnsi="Arial"/>
          <w:sz w:val="16"/>
          <w:szCs w:val="16"/>
          <w:color w:val="auto"/>
        </w:rPr>
        <w:t>Subject to the percentage of ownership limitations and gross income and asset tests necessary for BXP’s REIT qualification, we also may invest in securities of other REITs, other entities engaged in real estate activities or securities of other issuers, including for the purpose of exercising control over such entities.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Dispositions</w:t>
      </w:r>
    </w:p>
    <w:p>
      <w:pPr>
        <w:spacing w:after="0" w:line="95"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We decide to dispose or partially dispose of properties based upon the periodic review of our portfolio and the determination by the Board of Directors of BXP that doing so is in our best interests. Any decision to dispose of a property will be authorized by the Board of Directors of BXP or a committee thereof. Some holders of limited partnership interests in BPLP could incur adverse tax consequences upon the sale of certain of our properties that differ from the tax consequences to BXP. Consequently, holders of limited partnership interests in BPLP may have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different objectives regarding the appropriate pricing and timing of any such sale. Such different tax treatment derives in most cases from the fact that we acquired these properties in exchange for partnership interests in contribution transactions structured to allow the prior owners to defer taxable gain. Generally, this deferral continues so long as we do not dispose of the properties in a taxable transaction. Unless a sale by us of these properties is structured as a like-kind exchange under Section 1031 of the Internal Revenue Code of 1986, as amended (the “Code”), or in a manner that otherwise allows deferral to continue, recognition of the deferred tax gain allocable to these prior owners is generally triggered by a sale. As of December 31, 2022, we had one property that was subject to a tax protection agreement, which may limit our ability to dispose of the asset or require us to pay damages to the prior owner in the event of a taxable sale in violation of the agreement. The tax protection agreement expires on December 14, 2033, or earlier if certain conditions by the prior owner are met.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Policies</w:t>
      </w:r>
    </w:p>
    <w:p>
      <w:pPr>
        <w:spacing w:after="0" w:line="10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The agreement of limited partnership of BPLP and BXP’s certificate of incorporation and bylaws do not limit the amount or percentage of indebtedness that we may incur. Further, we do not have a policy limiting the amount of indebtedness that we may incur, nor have we established any limit on the number or amount of mortgages that may be placed on any single property or on our portfolio as a whole. However, our mortgages, credit facilities, joint venture agreements and unsecured debt securities contain customary restrictions, requirements and other limitations on our ability to incur indebtedness. In addition, we evaluate the impact of incremental leverage on our debt metrics and the credit ratings of BPLP’s publicly traded debt. A reduction in BPLP’s credit ratings could result in us borrowing money at higher interest rates.</w:t>
      </w:r>
    </w:p>
    <w:p>
      <w:pPr>
        <w:spacing w:after="0" w:line="139"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The Board of Directors of BXP will consider a number of factors when evaluating our level of indebtedness and when making decisions regarding the incurrence of indebtedness, including the purchase price of properties to be acquired with debt financing, the estimated market value of our properties upon refinancing, the entering into agreements such as interest rate swaps, caps, floors and other interest rate hedging contracts and the ability of particular properties and us as a whole to generate cash flow to cover expected debt service.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Policies with Respect to Other Activities</w:t>
      </w:r>
    </w:p>
    <w:p>
      <w:pPr>
        <w:spacing w:after="0" w:line="95"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As the sole general partner of BPLP, BXP has the authority to issue additional common and preferred units of limited partnership interest of BPLP. BXP has issued, and may in the future issue, common or preferred units of limited partnership interest to persons who contribute their direct or indirect interests in properties to us in exchange for such common or preferred units. We have not engaged in trading, underwriting or agency distribution or sale of securities of issuers other than BXP and BPLP does not intend to do so. At all times, we intend to make investments in such a manner as to enable BXP to maintain its qualification as a REIT, unless, due to changes in circumstances or to the Code, the Board of Directors of BXP determines that it is no longer in the best interest of BXP to qualify as a REIT. We may make loans to third parties, including, without limitation, to joint ventures in which we participate or in connection with the disposition of a property. We intend to make investments in such a way that we will not be treated as an investment company under the 1940 Act. Our policies with respect to these and other activities may be reviewed and modified or amended from time to time by the Board of Directors of BXP.</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General</w:t>
      </w:r>
    </w:p>
    <w:p>
      <w:pPr>
        <w:spacing w:after="0" w:line="93" w:lineRule="exact"/>
        <w:rPr>
          <w:sz w:val="20"/>
          <w:szCs w:val="20"/>
          <w:color w:val="auto"/>
        </w:rPr>
      </w:pPr>
    </w:p>
    <w:p>
      <w:pPr>
        <w:ind w:firstLine="356"/>
        <w:spacing w:after="0" w:line="266" w:lineRule="auto"/>
        <w:rPr>
          <w:sz w:val="20"/>
          <w:szCs w:val="20"/>
          <w:color w:val="auto"/>
        </w:rPr>
      </w:pPr>
      <w:r>
        <w:rPr>
          <w:rFonts w:ascii="Arial" w:cs="Arial" w:eastAsia="Arial" w:hAnsi="Arial"/>
          <w:sz w:val="15"/>
          <w:szCs w:val="15"/>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(1) federal securities laws and regulations, (2) applicable stock exchange requirements, and (3) federal, state and local laws and regulations related to (a) our status as a REIT and other tax laws and regulations, and (b) real property, the improvements thereon and the operation thereof, such as laws and regulations relating to the environment, health and safety, zoning, usage, building, fire and life safety codes, (4) the requirements of the Office of Foreign Assets Control of the United States Department of the Treasury and (5) the Americans with Disabilities Act of 1990. In addition to the discussion below, see “</w:t>
      </w:r>
      <w:r>
        <w:rPr>
          <w:rFonts w:ascii="Arial" w:cs="Arial" w:eastAsia="Arial" w:hAnsi="Arial"/>
          <w:sz w:val="15"/>
          <w:szCs w:val="15"/>
          <w:i w:val="1"/>
          <w:iCs w:val="1"/>
          <w:color w:val="auto"/>
        </w:rPr>
        <w:t>Item</w:t>
      </w:r>
      <w:r>
        <w:rPr>
          <w:rFonts w:ascii="Arial" w:cs="Arial" w:eastAsia="Arial" w:hAnsi="Arial"/>
          <w:sz w:val="15"/>
          <w:szCs w:val="15"/>
          <w:color w:val="auto"/>
        </w:rPr>
        <w:t xml:space="preserve"> </w:t>
      </w:r>
      <w:r>
        <w:rPr>
          <w:rFonts w:ascii="Arial" w:cs="Arial" w:eastAsia="Arial" w:hAnsi="Arial"/>
          <w:sz w:val="15"/>
          <w:szCs w:val="15"/>
          <w:i w:val="1"/>
          <w:iCs w:val="1"/>
          <w:color w:val="auto"/>
        </w:rPr>
        <w:t>1A – Risk Factors</w:t>
      </w:r>
      <w:r>
        <w:rPr>
          <w:rFonts w:ascii="Arial" w:cs="Arial" w:eastAsia="Arial" w:hAnsi="Arial"/>
          <w:sz w:val="15"/>
          <w:szCs w:val="15"/>
          <w:color w:val="auto"/>
        </w:rPr>
        <w:t>” for a discussion of these governmental regulations and other material risks to us, including, to the extent material, to our competitive position,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see “</w:t>
      </w:r>
      <w:r>
        <w:rPr>
          <w:rFonts w:ascii="Arial" w:cs="Arial" w:eastAsia="Arial" w:hAnsi="Arial"/>
          <w:sz w:val="15"/>
          <w:szCs w:val="15"/>
          <w:i w:val="1"/>
          <w:iCs w:val="1"/>
          <w:color w:val="auto"/>
        </w:rPr>
        <w:t>Item 7. Management’s Discussion and Analysis of Financial Condition and Results of Operations</w:t>
      </w:r>
      <w:r>
        <w:rPr>
          <w:rFonts w:ascii="Arial" w:cs="Arial" w:eastAsia="Arial" w:hAnsi="Arial"/>
          <w:sz w:val="15"/>
          <w:szCs w:val="15"/>
          <w:color w:val="auto"/>
        </w:rPr>
        <w:t>”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Environmental Matters</w:t>
      </w:r>
    </w:p>
    <w:p>
      <w:pPr>
        <w:spacing w:after="0" w:line="93"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It is our policy to retain independent environmental consultants to conduct or update Phase I environmental assessments (which generally do not involve invasive techniques such as soil or ground water sampling) and asbestos surveys in connection with our acquisition of properties. These pre-purchase environmental assessments have not revealed environmental conditions that we believe will have a material adverse effect on our business, assets, financial condition, results of operations or liquidity, and we are not otherwise aware of environmental conditions with respect to our properties that we believe would have such a material adverse effect. However, from time to time environmental conditions at our properties have required and may in the future require environmental testing and/or regulatory filings, as well as remedial action.</w:t>
      </w:r>
    </w:p>
    <w:p>
      <w:pPr>
        <w:spacing w:after="0" w:line="139"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For example, in February 1999, we (through a joint venture) acquired from Exxon Corporation a property in Massachusetts that was formerly used as a petroleum bulk storage and distribution facility and was known by the state regulatory authority to contain soil and groundwater contamination. We developed an office park on the property. We engaged a specially licensed environmental consultant to oversee the management of contaminated soil and groundwater that was disturbed in the course of construction. Under the property acquisition agreement, Exxon agreed to (1) bear the liability arising from releases or discharges of oil and hazardous substances which occurred at the site prior to our ownership, (2) continue monitoring and/or remediating such releases and discharges as necessary and appropriate to comply with applicable requirements, and (3) indemnify us for certain losses arising from preexisting site conditions. Any indemnity claim may be subject to various defenses and contractual limitations, including time limits, and there can be no assurance that the amounts paid under the indemnity, if any, would be sufficient to cover the liabilities arising from any such releases and discharges.</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Environmental investigations at some of our properties and certain properties owned by our affiliates have identified groundwater contamination migrating from off-site source properties. In each case we engaged a licensed environmental consultant to perform the necessary investigations and assessments, and to prepare any required submittals to the regulatory authorities. In each case the environmental consultant concluded that the properties qualify under the regulatory program or the regulatory practice for a status which eliminates certain deadlines for conducting response actions at a site. We also believe that these properties qualify for liability relief under certain statutory provisions or regulatory practices regarding upgradient releases. Although we believe that the current or former owners of the upgradient source properties may bear responsibility for some or all of the costs of addressing the identified groundwater contamination, we will take such further response actions (if any) that we deem necessary or advisable. Other than periodic testing at some of these properties, no such additional response actions are anticipated at this time.</w:t>
      </w:r>
    </w:p>
    <w:p>
      <w:pPr>
        <w:spacing w:after="0" w:line="138" w:lineRule="exact"/>
        <w:rPr>
          <w:sz w:val="20"/>
          <w:szCs w:val="20"/>
          <w:color w:val="auto"/>
        </w:rPr>
      </w:pPr>
    </w:p>
    <w:p>
      <w:pPr>
        <w:ind w:right="40" w:firstLine="391"/>
        <w:spacing w:after="0" w:line="247" w:lineRule="auto"/>
        <w:rPr>
          <w:sz w:val="20"/>
          <w:szCs w:val="20"/>
          <w:color w:val="auto"/>
        </w:rPr>
      </w:pPr>
      <w:r>
        <w:rPr>
          <w:rFonts w:ascii="Arial" w:cs="Arial" w:eastAsia="Arial" w:hAnsi="Arial"/>
          <w:sz w:val="16"/>
          <w:szCs w:val="16"/>
          <w:color w:val="auto"/>
        </w:rPr>
        <w:t>Some of our properties and certain properties owned by our affiliates are located in urban, industrial and other previously developed areas where fill or current or historical use of the areas have caused site contamination. Accordingly, it is sometimes necessary to institute special soil and/or groundwater handling procedures and/or include particular building design features in connection with development, construction and other property operations in order to achieve regulatory closure and/or ensure that contaminated materials are addressed in an appropriate manner. In these situations, it is our practice to investigate the nature and extent of detected contamination, including potential issues associated with vapor intrusion concerns and/or potential contaminant migration to or from the subject property in ground water, assess potential liability risks and estimate the costs of required response actions and special handling procedures. We then use this information as part of our decision-making process with respect to the acquisition, deal structure and/or development of the property. For example, we own a parcel in Massachusetts which was formerly used as a quarry/asphalt batching facility. Pre-purchase testing indicated that the site contained relatively low levels of certain contaminants. We have developed an office park on this property. Prior to and during redevelopment activities, we engaged a specially licensed environmental consultant to monitor environmental conditions at the site and prepare necessary regulatory submittals based on the results of an environmental risk characterization. A submittal has been made to the regulatory authorities in order to achieve regulatory closure at this site. The submittal included an environmental deed restriction that mandates compliance with certain protective measures in a portion of the site where low levels of residual soil contamination have been left in place in accordance with applicable laws.</w:t>
      </w:r>
    </w:p>
    <w:p>
      <w:pPr>
        <w:spacing w:after="0" w:line="146"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We expect that resolution of the environmental matters described above will not have a material impact on our business, assets, financial condition, results of operations or liquidity. However, we cannot assure you that we have identified all environmental liabilities at our properties, that all necessary remediation actions have been or will be undertaken at our properties, that we will be indemnified, in full or at all, or that we will have insurance coverage in the event that such environmental liabilities arise.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w:t>
      </w:r>
    </w:p>
    <w:p>
      <w:pPr>
        <w:spacing w:after="0" w:line="168" w:lineRule="exact"/>
        <w:rPr>
          <w:sz w:val="20"/>
          <w:szCs w:val="20"/>
          <w:color w:val="auto"/>
        </w:rPr>
      </w:pPr>
    </w:p>
    <w:p>
      <w:pPr>
        <w:jc w:val="both"/>
        <w:ind w:right="180" w:firstLine="391"/>
        <w:spacing w:after="0" w:line="250" w:lineRule="auto"/>
        <w:rPr>
          <w:sz w:val="20"/>
          <w:szCs w:val="20"/>
          <w:color w:val="auto"/>
        </w:rPr>
      </w:pPr>
      <w:r>
        <w:rPr>
          <w:rFonts w:ascii="Arial" w:cs="Arial" w:eastAsia="Arial" w:hAnsi="Arial"/>
          <w:sz w:val="16"/>
          <w:szCs w:val="16"/>
          <w:color w:val="auto"/>
        </w:rPr>
        <w:t>BXP is currently governed by an eleven-member Board of Directors. The current members of the Board of Directors of BXP are Kelly A. Ayotte, Bruce W. Duncan, Carol B. Einiger, Diane J. Hoskins, Mary E. Kipp, Joel I. Klein, Douglas T. Linde, Matthew J. Lustig, Owen D. Thomas, David A. Twardock and William H. Walton III. All directors of BXP stand for election for one-year terms expiring at the next succeeding annual meeting of stockholders.</w:t>
      </w:r>
    </w:p>
    <w:p>
      <w:pPr>
        <w:spacing w:after="0" w:line="136"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Owen D. Thomas currently serves as the Chairman of BXP’s Board of Directors and Kelly A. Ayotte serves as our Lead Independent Director. The Board of Directors of BXP also has Audit, Compensation, Nominating and Corporate Governance and Sustainability Committees. The membership of each of these committees is described below.</w:t>
      </w: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Audit</w:t>
            </w:r>
          </w:p>
        </w:tc>
        <w:tc>
          <w:tcPr>
            <w:tcW w:w="540" w:type="dxa"/>
            <w:vAlign w:val="bottom"/>
            <w:vMerge w:val="restart"/>
          </w:tcPr>
          <w:p>
            <w:pPr>
              <w:spacing w:after="0"/>
              <w:rPr>
                <w:sz w:val="12"/>
                <w:szCs w:val="12"/>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Compensation</w:t>
            </w:r>
          </w:p>
        </w:tc>
        <w:tc>
          <w:tcPr>
            <w:tcW w:w="540" w:type="dxa"/>
            <w:vAlign w:val="bottom"/>
            <w:vMerge w:val="restart"/>
          </w:tcPr>
          <w:p>
            <w:pPr>
              <w:spacing w:after="0"/>
              <w:rPr>
                <w:sz w:val="12"/>
                <w:szCs w:val="12"/>
                <w:color w:val="auto"/>
              </w:rPr>
            </w:pPr>
          </w:p>
        </w:tc>
        <w:tc>
          <w:tcPr>
            <w:tcW w:w="21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7"/>
              </w:rPr>
              <w:t>Nominating and</w:t>
            </w:r>
          </w:p>
        </w:tc>
        <w:tc>
          <w:tcPr>
            <w:tcW w:w="16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Sustainability</w:t>
            </w:r>
          </w:p>
        </w:tc>
        <w:tc>
          <w:tcPr>
            <w:tcW w:w="0" w:type="dxa"/>
            <w:vAlign w:val="bottom"/>
          </w:tcPr>
          <w:p>
            <w:pPr>
              <w:spacing w:after="0"/>
              <w:rPr>
                <w:sz w:val="1"/>
                <w:szCs w:val="1"/>
                <w:color w:val="auto"/>
              </w:rPr>
            </w:pPr>
          </w:p>
        </w:tc>
      </w:tr>
      <w:tr>
        <w:trPr>
          <w:trHeight w:val="166"/>
        </w:trPr>
        <w:tc>
          <w:tcPr>
            <w:tcW w:w="254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Corporate Governance</w:t>
            </w:r>
          </w:p>
        </w:tc>
        <w:tc>
          <w:tcPr>
            <w:tcW w:w="5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Kelly A. Ayotte*</w:t>
            </w:r>
          </w:p>
        </w:tc>
        <w:tc>
          <w:tcPr>
            <w:tcW w:w="1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Bruce W. Duncan</w:t>
            </w: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w:t>
            </w: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X</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Carol B. Einiger</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2180" w:type="dxa"/>
            <w:vAlign w:val="bottom"/>
            <w:gridSpan w:val="2"/>
            <w:shd w:val="clear" w:color="auto" w:fill="CCEEFF"/>
          </w:tcPr>
          <w:p>
            <w:pPr>
              <w:jc w:val="center"/>
              <w:ind w:right="560"/>
              <w:spacing w:after="0"/>
              <w:rPr>
                <w:sz w:val="20"/>
                <w:szCs w:val="20"/>
                <w:color w:val="auto"/>
              </w:rPr>
            </w:pPr>
            <w:r>
              <w:rPr>
                <w:rFonts w:ascii="Arial" w:cs="Arial" w:eastAsia="Arial" w:hAnsi="Arial"/>
                <w:sz w:val="16"/>
                <w:szCs w:val="16"/>
                <w:color w:val="auto"/>
                <w:w w:val="93"/>
              </w:rPr>
              <w:t>X</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Diane J. Hoskins</w:t>
            </w: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X</w:t>
            </w:r>
          </w:p>
        </w:tc>
        <w:tc>
          <w:tcPr>
            <w:tcW w:w="1640" w:type="dxa"/>
            <w:vAlign w:val="bottom"/>
          </w:tcPr>
          <w:p>
            <w:pPr>
              <w:ind w:left="760"/>
              <w:spacing w:after="0"/>
              <w:rPr>
                <w:sz w:val="20"/>
                <w:szCs w:val="20"/>
                <w:color w:val="auto"/>
              </w:rPr>
            </w:pPr>
            <w:r>
              <w:rPr>
                <w:rFonts w:ascii="Arial" w:cs="Arial" w:eastAsia="Arial" w:hAnsi="Arial"/>
                <w:sz w:val="16"/>
                <w:szCs w:val="16"/>
                <w:color w:val="auto"/>
              </w:rPr>
              <w:t>X   (1)</w:t>
            </w: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 E. Kipp</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Joel I. Klein</w:t>
            </w: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   (1)</w:t>
            </w:r>
          </w:p>
        </w:tc>
        <w:tc>
          <w:tcPr>
            <w:tcW w:w="218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X</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Douglas T. Linde</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Matthew J. Lustig</w:t>
            </w: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   (1)</w:t>
            </w:r>
          </w:p>
        </w:tc>
        <w:tc>
          <w:tcPr>
            <w:tcW w:w="1640" w:type="dxa"/>
            <w:vAlign w:val="bottom"/>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Owen D. Thomas (2)</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David A. Twardock</w:t>
            </w: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   (1)</w:t>
            </w: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w:t>
            </w: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H. Walton III</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1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3000"/>
        <w:spacing w:after="0" w:line="425" w:lineRule="auto"/>
        <w:rPr>
          <w:sz w:val="20"/>
          <w:szCs w:val="20"/>
          <w:color w:val="auto"/>
        </w:rPr>
      </w:pPr>
      <w:r>
        <w:rPr>
          <w:rFonts w:ascii="Arial" w:cs="Arial" w:eastAsia="Arial" w:hAnsi="Arial"/>
          <w:sz w:val="16"/>
          <w:szCs w:val="16"/>
          <w:color w:val="auto"/>
        </w:rPr>
        <w:t>*=Lead Independent Director, X=Committee member, (1)=Committee Chair, (2)=Chairman of BXP’s Board of Directors BXP has the following corporate governance documents and procedures in place:</w:t>
      </w:r>
    </w:p>
    <w:p>
      <w:pPr>
        <w:ind w:left="500" w:hanging="292"/>
        <w:spacing w:after="0" w:line="253" w:lineRule="auto"/>
        <w:tabs>
          <w:tab w:leader="none" w:pos="4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adopted charters for each of its Audit, Compensation and Nominating and Corporate Governance Committees. A copy of each of these charters is available on our website at http://www.bxp.com under the heading “Investors” and subheading “Governance.”</w:t>
      </w:r>
    </w:p>
    <w:p>
      <w:pPr>
        <w:spacing w:after="0" w:line="121" w:lineRule="exact"/>
        <w:rPr>
          <w:rFonts w:ascii="Arial" w:cs="Arial" w:eastAsia="Arial" w:hAnsi="Arial"/>
          <w:sz w:val="16"/>
          <w:szCs w:val="16"/>
          <w:color w:val="auto"/>
        </w:rPr>
      </w:pPr>
    </w:p>
    <w:p>
      <w:pPr>
        <w:ind w:left="500" w:right="440" w:hanging="292"/>
        <w:spacing w:after="0" w:line="253" w:lineRule="auto"/>
        <w:tabs>
          <w:tab w:leader="none" w:pos="4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adopted Corporate Governance Guidelines, a copy of which is available on our website at http://www.bxp.com under the heading “Investors” and subheading “Governance” with the name “Governance Guidelines.”</w:t>
      </w:r>
    </w:p>
    <w:p>
      <w:pPr>
        <w:spacing w:after="0" w:line="109" w:lineRule="exact"/>
        <w:rPr>
          <w:rFonts w:ascii="Arial" w:cs="Arial" w:eastAsia="Arial" w:hAnsi="Arial"/>
          <w:sz w:val="16"/>
          <w:szCs w:val="16"/>
          <w:color w:val="auto"/>
        </w:rPr>
      </w:pPr>
    </w:p>
    <w:p>
      <w:pPr>
        <w:ind w:left="500" w:right="240" w:hanging="292"/>
        <w:spacing w:after="0" w:line="248" w:lineRule="auto"/>
        <w:tabs>
          <w:tab w:leader="none" w:pos="4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adopted a Code of Business Conduct and Ethics, which governs business decisions made and actions taken by BXP’s directors, officers and employees. A copy of this code is available on our website at http://www.bxp.com under the heading “Investors” and subheading “Governance” with the name “Code of Business Conduct and Ethics.” BXP intends to disclose on this website any amendment to, or waiver of, any provisions of this Code applicable to the directors and executive officers of BXP that would otherwise be required to be disclosed under the rules of the SEC or the New York Stock Exchange.</w:t>
      </w:r>
    </w:p>
    <w:p>
      <w:pPr>
        <w:spacing w:after="0" w:line="127" w:lineRule="exact"/>
        <w:rPr>
          <w:rFonts w:ascii="Arial" w:cs="Arial" w:eastAsia="Arial" w:hAnsi="Arial"/>
          <w:sz w:val="16"/>
          <w:szCs w:val="16"/>
          <w:color w:val="auto"/>
        </w:rPr>
      </w:pPr>
    </w:p>
    <w:p>
      <w:pPr>
        <w:ind w:left="500" w:right="300" w:hanging="292"/>
        <w:spacing w:after="0" w:line="250" w:lineRule="auto"/>
        <w:tabs>
          <w:tab w:leader="none" w:pos="4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established an ethics reporting system that employees may use to anonymously report possible violations of the Code of Business Conduct and Ethics, including concerns regarding questionable accounting, internal accounting controls or auditing matters, by telephone or over the internet.</w:t>
      </w:r>
    </w:p>
    <w:p>
      <w:pPr>
        <w:spacing w:after="0" w:line="124" w:lineRule="exact"/>
        <w:rPr>
          <w:rFonts w:ascii="Arial" w:cs="Arial" w:eastAsia="Arial" w:hAnsi="Arial"/>
          <w:sz w:val="16"/>
          <w:szCs w:val="16"/>
          <w:color w:val="auto"/>
        </w:rPr>
      </w:pPr>
    </w:p>
    <w:p>
      <w:pPr>
        <w:ind w:left="500" w:right="480" w:hanging="292"/>
        <w:spacing w:after="0" w:line="253" w:lineRule="auto"/>
        <w:tabs>
          <w:tab w:leader="none" w:pos="4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adopted a Policy on our Political Spending, a copy of which is available on our website at http://www.bxp.com under the heading “Investors” and the subheading “Governance” with the name “Policy on Political Spending.”</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Competition</w:t>
      </w:r>
    </w:p>
    <w:p>
      <w:pPr>
        <w:spacing w:after="0" w:line="168" w:lineRule="exact"/>
        <w:rPr>
          <w:sz w:val="20"/>
          <w:szCs w:val="20"/>
          <w:color w:val="auto"/>
        </w:rPr>
      </w:pPr>
    </w:p>
    <w:p>
      <w:pPr>
        <w:ind w:right="40" w:firstLine="391"/>
        <w:spacing w:after="0" w:line="250" w:lineRule="auto"/>
        <w:rPr>
          <w:sz w:val="20"/>
          <w:szCs w:val="20"/>
          <w:color w:val="auto"/>
        </w:rPr>
      </w:pPr>
      <w:r>
        <w:rPr>
          <w:rFonts w:ascii="Arial" w:cs="Arial" w:eastAsia="Arial" w:hAnsi="Arial"/>
          <w:sz w:val="16"/>
          <w:szCs w:val="16"/>
          <w:color w:val="auto"/>
        </w:rPr>
        <w:t>We compete in the leasing of premier workplace, retail and residential space with a considerable number of other real estate companies, some of which may have greater marketing and financial resources than are available to us. In addition, our hotel property competes for guests with other hotels, some of which may have greater marketing and financial resources than are available to us and to the manager of our one hotel, Marriott International, Inc.</w:t>
      </w:r>
    </w:p>
    <w:p>
      <w:pPr>
        <w:spacing w:after="0" w:line="136"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Principal factors of competition in our primary business of owning, acquiring and developing premier workplaces are the quality of properties, leasing terms (including rent and other charges and allowances for tenant improvements), attractiveness and convenience of location, the quality and breadth of client services and amenities provided, and reputation as an owner and operator of premier workplaces in the relevant market. Additionally, our ability to compete depends upon, among other factors, trends in the national and local economies, investment alternatives, financial condition and operating results of current and prospective clients, availability and cost of capital, construction and renovation costs, taxes, utilities, governmental regulations, legislation and population trends.</w:t>
      </w:r>
    </w:p>
    <w:p>
      <w:pPr>
        <w:spacing w:after="0" w:line="124"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In addition, we currently have six residential properties (including one under construction) and may in the future decide to acquire or develop additional residential properties. As an owner, we will also face competition for prospective residents from other operators/owners whose properties may be perceived to offer a better location or better amenities or whose rent may be perceived as a better value given the quality, location and amenities that the resident seeks. We will also compete against condominiums and single-family homes that are for sale or rent. Because the scale of our residential portfolio is relatively small, we expect to continue to retain third parties to manage our residential properties.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Hotel Property</w:t>
      </w:r>
    </w:p>
    <w:p>
      <w:pPr>
        <w:spacing w:after="0" w:line="168"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We operate our hotel property through a taxable REIT subsidiary. The taxable REIT subsidiary, a wholly-owned subsidiary of BPLP, is the lessee pursuant to a lease for the hotel property. As lessor, BPLP is entitled to a percentage of gross receipts from the hotel property. The hotel lease is intended to provide the economic benefits of ownership of the underlying real estate to flow to us as rental income, while our taxable REIT subsidiary earns the profit or loss from operating the property as a hotel. Marriott International, Inc. continues to manage the hotel property under the Marriott name and under terms of the existing management agreements. Marriott has been engaged under a separate long-term incentive management agreement to operate and manage the hotel on behalf of the taxable REIT subsidiary.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United States Federal Income Tax Considerations</w:t>
      </w:r>
    </w:p>
    <w:p>
      <w:pPr>
        <w:spacing w:after="0" w:line="168" w:lineRule="exact"/>
        <w:rPr>
          <w:sz w:val="20"/>
          <w:szCs w:val="20"/>
          <w:color w:val="auto"/>
        </w:rPr>
      </w:pPr>
    </w:p>
    <w:p>
      <w:pPr>
        <w:ind w:right="80" w:firstLine="391"/>
        <w:spacing w:after="0" w:line="250" w:lineRule="auto"/>
        <w:rPr>
          <w:sz w:val="20"/>
          <w:szCs w:val="20"/>
          <w:color w:val="auto"/>
        </w:rPr>
      </w:pPr>
      <w:r>
        <w:rPr>
          <w:rFonts w:ascii="Arial" w:cs="Arial" w:eastAsia="Arial" w:hAnsi="Arial"/>
          <w:sz w:val="16"/>
          <w:szCs w:val="16"/>
          <w:color w:val="auto"/>
        </w:rPr>
        <w:t>The following discussion supplements and updates the disclosures under “United States Federal Income Tax Considerations” in the prospectus dated May 22, 2020 contained in our Registration Statement on Form S-3 filed with the SEC on May 22, 2020 (such disclosure, the “Base Disclosure”). Capitalized terms herein that are not otherwise defined shall have the same meaning as when used in the Base Disclosure.</w:t>
      </w:r>
    </w:p>
    <w:p>
      <w:pPr>
        <w:spacing w:after="0" w:line="136"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On December 29, 2022, the IRS promulgated final Treasury Regulations under Sections 897, 1441, 1445, and 1446 of the Code that were, in part, intended to coordinate various withholding regimes for non-U.S. stockholders. The new Treasury Regulations provide guidance regarding qualified foreign pension funds and are largely consistent with the previously issued proposed Treasury Regulations.</w:t>
      </w:r>
    </w:p>
    <w:p>
      <w:pPr>
        <w:spacing w:after="0" w:line="120" w:lineRule="exact"/>
        <w:rPr>
          <w:sz w:val="20"/>
          <w:szCs w:val="20"/>
          <w:color w:val="auto"/>
        </w:rPr>
      </w:pPr>
    </w:p>
    <w:p>
      <w:pPr>
        <w:jc w:val="both"/>
        <w:ind w:right="500" w:firstLine="391"/>
        <w:spacing w:after="0" w:line="261" w:lineRule="auto"/>
        <w:rPr>
          <w:sz w:val="20"/>
          <w:szCs w:val="20"/>
          <w:color w:val="auto"/>
        </w:rPr>
      </w:pPr>
      <w:r>
        <w:rPr>
          <w:rFonts w:ascii="Arial" w:cs="Arial" w:eastAsia="Arial" w:hAnsi="Arial"/>
          <w:sz w:val="16"/>
          <w:szCs w:val="16"/>
          <w:color w:val="auto"/>
        </w:rPr>
        <w:t xml:space="preserve">Accordingly, the third and fourth sentences of the third paragraph under the heading </w:t>
      </w:r>
      <w:r>
        <w:rPr>
          <w:rFonts w:ascii="Arial" w:cs="Arial" w:eastAsia="Arial" w:hAnsi="Arial"/>
          <w:sz w:val="16"/>
          <w:szCs w:val="16"/>
          <w:i w:val="1"/>
          <w:iCs w:val="1"/>
          <w:color w:val="auto"/>
        </w:rPr>
        <w:t>“United States Federal Income Tax Considerations—Taxation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and Potential Tax Consequences of Their Investment in Shares of Common Stock or Preferred Stock—Taxation of Non-U.S. Stockholders— Dispositions of Stock</w:t>
      </w:r>
      <w:r>
        <w:rPr>
          <w:rFonts w:ascii="Arial" w:cs="Arial" w:eastAsia="Arial" w:hAnsi="Arial"/>
          <w:sz w:val="16"/>
          <w:szCs w:val="16"/>
          <w:color w:val="auto"/>
        </w:rPr>
        <w:t>” are hereby deleted and replaced with the following:</w:t>
      </w:r>
    </w:p>
    <w:p>
      <w:pPr>
        <w:spacing w:after="0" w:line="12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Under Treasury Regulations, subject to the discussion below regarding “qualified holders,” a “qualified controlled entity” also is not generally treated as a non-U.S. stockholder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20" w:firstLine="391"/>
        <w:spacing w:after="0" w:line="261" w:lineRule="auto"/>
        <w:rPr>
          <w:sz w:val="20"/>
          <w:szCs w:val="20"/>
          <w:color w:val="auto"/>
        </w:rPr>
      </w:pPr>
      <w:r>
        <w:rPr>
          <w:rFonts w:ascii="Arial" w:cs="Arial" w:eastAsia="Arial" w:hAnsi="Arial"/>
          <w:sz w:val="16"/>
          <w:szCs w:val="16"/>
          <w:color w:val="auto"/>
        </w:rPr>
        <w:t xml:space="preserve">Additionally, the following two paragraphs are added after the third paragraph under the heading </w:t>
      </w:r>
      <w:r>
        <w:rPr>
          <w:rFonts w:ascii="Arial" w:cs="Arial" w:eastAsia="Arial" w:hAnsi="Arial"/>
          <w:sz w:val="16"/>
          <w:szCs w:val="16"/>
          <w:i w:val="1"/>
          <w:iCs w:val="1"/>
          <w:color w:val="auto"/>
        </w:rPr>
        <w:t>“United States Federal Income Tax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Taxation of Stockholders and Potential Tax Consequences of Their Investment in Shares of Common Stock or Preferred Stock—Taxation of Non-U.S. Stockholders—Dispositions of Stock”:</w:t>
      </w:r>
    </w:p>
    <w:p>
      <w:pPr>
        <w:spacing w:after="0" w:line="127" w:lineRule="exact"/>
        <w:rPr>
          <w:sz w:val="20"/>
          <w:szCs w:val="20"/>
          <w:color w:val="auto"/>
        </w:rPr>
      </w:pPr>
    </w:p>
    <w:p>
      <w:pPr>
        <w:ind w:left="560" w:right="20"/>
        <w:spacing w:after="0" w:line="267" w:lineRule="auto"/>
        <w:rPr>
          <w:sz w:val="20"/>
          <w:szCs w:val="20"/>
          <w:color w:val="auto"/>
        </w:rPr>
      </w:pPr>
      <w:r>
        <w:rPr>
          <w:rFonts w:ascii="Arial" w:cs="Arial" w:eastAsia="Arial" w:hAnsi="Arial"/>
          <w:sz w:val="15"/>
          <w:szCs w:val="15"/>
          <w:color w:val="auto"/>
        </w:rPr>
        <w:t>Treasury Regulations further require that a qualified foreign pension fund or qualified controlled entity will not be exempt from FIRPTA with respect to dispositions of USRPIs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USRPI or the REIT distribution. Under the first test, a qualified foreign pension fund or qualified controlled entity is a qualified holder if it owned no USRPIs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USRPIs as of the earliest date during the period described in the preceding sentence, it can be a qualified holder only if it satisfies certain testing period requirements.</w:t>
      </w:r>
    </w:p>
    <w:p>
      <w:pPr>
        <w:spacing w:after="0" w:line="126" w:lineRule="exact"/>
        <w:rPr>
          <w:sz w:val="20"/>
          <w:szCs w:val="20"/>
          <w:color w:val="auto"/>
        </w:rPr>
      </w:pPr>
    </w:p>
    <w:p>
      <w:pPr>
        <w:ind w:left="560" w:right="340"/>
        <w:spacing w:after="0" w:line="253" w:lineRule="auto"/>
        <w:rPr>
          <w:sz w:val="20"/>
          <w:szCs w:val="20"/>
          <w:color w:val="auto"/>
        </w:rPr>
      </w:pPr>
      <w:r>
        <w:rPr>
          <w:rFonts w:ascii="Arial" w:cs="Arial" w:eastAsia="Arial" w:hAnsi="Arial"/>
          <w:sz w:val="16"/>
          <w:szCs w:val="16"/>
          <w:color w:val="auto"/>
        </w:rPr>
        <w:t>Treasury Regulations also provide that a foreign partnership, all of the interests of which are held by qualified holders, including through one or more partnerships, may certify its status as such and will not be treated as a non-U.S. stockholder for purposes of withholding under FIRPTA.</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i w:val="1"/>
          <w:iCs w:val="1"/>
          <w:color w:val="auto"/>
        </w:rPr>
        <w:t>Risk Factors.</w:t>
      </w:r>
    </w:p>
    <w:p>
      <w:pPr>
        <w:spacing w:after="0" w:line="81" w:lineRule="exact"/>
        <w:rPr>
          <w:sz w:val="20"/>
          <w:szCs w:val="20"/>
          <w:color w:val="auto"/>
        </w:rPr>
      </w:pPr>
    </w:p>
    <w:p>
      <w:pPr>
        <w:ind w:right="40" w:firstLine="391"/>
        <w:spacing w:after="0" w:line="254" w:lineRule="auto"/>
        <w:rPr>
          <w:sz w:val="20"/>
          <w:szCs w:val="20"/>
          <w:color w:val="auto"/>
        </w:rPr>
      </w:pPr>
      <w:r>
        <w:rPr>
          <w:rFonts w:ascii="Arial" w:cs="Arial" w:eastAsia="Arial" w:hAnsi="Arial"/>
          <w:sz w:val="16"/>
          <w:szCs w:val="16"/>
          <w:i w:val="1"/>
          <w:iCs w:val="1"/>
          <w:color w:val="auto"/>
        </w:rPr>
        <w:t>Set forth below are the risks that we believe are material to our investors and they should be carefully considered. Throughout this section, we refer to the equity and debt securities of both BXP and BPLP as our “securities,” and the investors who own securities of BXP, BPLP or both, as our “securityholders.” These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beginning on page 58.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23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Our performance depends upon the economic conditions, particularly the supply and demand characteristics, of our markets—Boston, Los Angeles, New York, San Francisco, Seattle and Washington, DC.</w:t>
      </w:r>
    </w:p>
    <w:p>
      <w:pPr>
        <w:spacing w:after="0" w:line="44" w:lineRule="exact"/>
        <w:rPr>
          <w:sz w:val="20"/>
          <w:szCs w:val="20"/>
          <w:color w:val="auto"/>
        </w:rPr>
      </w:pPr>
    </w:p>
    <w:p>
      <w:pPr>
        <w:ind w:right="60" w:firstLine="391"/>
        <w:spacing w:after="0" w:line="267" w:lineRule="auto"/>
        <w:rPr>
          <w:sz w:val="20"/>
          <w:szCs w:val="20"/>
          <w:color w:val="auto"/>
        </w:rPr>
      </w:pPr>
      <w:r>
        <w:rPr>
          <w:rFonts w:ascii="Arial" w:cs="Arial" w:eastAsia="Arial" w:hAnsi="Arial"/>
          <w:sz w:val="15"/>
          <w:szCs w:val="15"/>
          <w:color w:val="auto"/>
        </w:rPr>
        <w:t>Substantially all of our revenue is derived from properties located in six markets: Boston, Los Angeles, New York, San Francisco, Seattle and Washington, DC. A downturn in the economies of these markets, or the impact that a downturn in the overall national economy may have upon these economies, could result in reduced demand for office space and/or a reduction in rents. Because our portfolio consists primarily of premier workplace buildings (as compared to a more diversified real estate portfolio), a decrease in demand for workplaces in turn could adversely affect our results of operations. Additionally, there are submarkets within our markets that are dependent upon a limited number of industries. For example, in our Washington, DC market, we focus on leasing our properties to governmental agencies and contractors, as well as legal firms. A reduction in spending by the Federal Government could result in reduced demand for office space and adversely affect our results of operations. In addition, in our New York market, we have historically leased properties to financial, legal and other professional firms. A significant downturn in one or more of these sectors could adversely affect our results of operations.</w:t>
      </w:r>
    </w:p>
    <w:p>
      <w:pPr>
        <w:spacing w:after="0" w:line="12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In addition, a significant economic downturn over a period of time could result in an event or change in circumstances that results in an “other than temporary” impairment in the value of our properties or our investments in unconsolidated joint ventures. An “other than temporary” impairment loss is recognized if the carrying amount of the asset (1) is not recoverable over its expected holding period and (2) exceeds its fair value. There can be no assurance that we will not take charges in the future related to the impairment of our assets or investments. Any future impairment could have a material adverse effect on our results of operations in the period in which the charge is taken.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b w:val="1"/>
          <w:bCs w:val="1"/>
          <w:i w:val="1"/>
          <w:iCs w:val="1"/>
          <w:color w:val="auto"/>
        </w:rPr>
        <w:t>Enhanced market and economic volatility due to adverse economic and geopolitical conditions, health crises or dislocations in the credit markets could have a material adverse effect on our results of operations, financial condition and ability to pay dividends and/or distributions.</w:t>
      </w:r>
    </w:p>
    <w:p>
      <w:pPr>
        <w:spacing w:after="0" w:line="44"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Our business may be adversely affected by market and economic volatility experienced by the U.S. and global economies, the real estate industry as a whole and/or the local economic conditions in the markets in which our properties are located. Such adverse economic and geopolitical conditions may be due to, among other issues, prolonged labor market challenges impacting the recruitment and retention of talent, continued inflation, high interest rates, and volatility in the public equity and debt markets, and international economic and other conditions, including pandemics, geopolitical instability and other conditions beyond our control. These current conditions, or similar conditions existing in the future, may adversely affect our results of operations, financial condition and ability to pay dividends and/or distributions as a result of the following, among other potential consequences:</w:t>
      </w:r>
    </w:p>
    <w:p>
      <w:pPr>
        <w:spacing w:after="0" w:line="127" w:lineRule="exact"/>
        <w:rPr>
          <w:sz w:val="20"/>
          <w:szCs w:val="20"/>
          <w:color w:val="auto"/>
        </w:rPr>
      </w:pPr>
    </w:p>
    <w:p>
      <w:pPr>
        <w:ind w:left="640" w:right="100" w:hanging="290"/>
        <w:spacing w:after="0" w:line="253"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financial condition of our clients may be adversely affected, which may result in client defaults under leases due to bankruptcy, lack of liquidity, lack of funding, operational failures or for other reasons;</w:t>
      </w:r>
    </w:p>
    <w:p>
      <w:pPr>
        <w:spacing w:after="0" w:line="121" w:lineRule="exact"/>
        <w:rPr>
          <w:rFonts w:ascii="Arial" w:cs="Arial" w:eastAsia="Arial" w:hAnsi="Arial"/>
          <w:sz w:val="16"/>
          <w:szCs w:val="16"/>
          <w:color w:val="auto"/>
        </w:rPr>
      </w:pPr>
    </w:p>
    <w:p>
      <w:pPr>
        <w:ind w:left="640" w:hanging="290"/>
        <w:spacing w:after="0" w:line="250"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job losses and/or a sustained shift away from collective in-person work environments or relocations away from the markets in which we operate may occur, which could decrease overall demand for workplaces in the regions in which we operate and cause market rental rates and property values to be negatively impacted;</w:t>
      </w:r>
    </w:p>
    <w:p>
      <w:pPr>
        <w:spacing w:after="0" w:line="112" w:lineRule="exact"/>
        <w:rPr>
          <w:rFonts w:ascii="Arial" w:cs="Arial" w:eastAsia="Arial" w:hAnsi="Arial"/>
          <w:sz w:val="16"/>
          <w:szCs w:val="16"/>
          <w:color w:val="auto"/>
        </w:rPr>
      </w:pPr>
    </w:p>
    <w:p>
      <w:pPr>
        <w:ind w:left="640" w:right="560" w:hanging="290"/>
        <w:spacing w:after="0" w:line="253"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tightening labor market conditions may adversely affect our ability to recruit and retain talent, which may result in lack of business continuity and increased costs to address the labor challenges;</w:t>
      </w:r>
    </w:p>
    <w:p>
      <w:pPr>
        <w:spacing w:after="0" w:line="121" w:lineRule="exact"/>
        <w:rPr>
          <w:rFonts w:ascii="Arial" w:cs="Arial" w:eastAsia="Arial" w:hAnsi="Arial"/>
          <w:sz w:val="16"/>
          <w:szCs w:val="16"/>
          <w:color w:val="auto"/>
        </w:rPr>
      </w:pPr>
    </w:p>
    <w:p>
      <w:pPr>
        <w:ind w:left="640" w:right="160" w:hanging="290"/>
        <w:spacing w:after="0" w:line="250"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borrow on terms and conditions that we find acceptable, or at all, may be limited, which could reduce our ability to pursue acquisition and development opportunities and refinance existing debt, reduce our returns from our acquisition and development activities and increase our future interest expense;</w:t>
      </w:r>
    </w:p>
    <w:p>
      <w:pPr>
        <w:spacing w:after="0" w:line="124" w:lineRule="exact"/>
        <w:rPr>
          <w:rFonts w:ascii="Arial" w:cs="Arial" w:eastAsia="Arial" w:hAnsi="Arial"/>
          <w:sz w:val="16"/>
          <w:szCs w:val="16"/>
          <w:color w:val="auto"/>
        </w:rPr>
      </w:pPr>
    </w:p>
    <w:p>
      <w:pPr>
        <w:ind w:left="640" w:right="160" w:hanging="290"/>
        <w:spacing w:after="0" w:line="253"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reduced values of our properties may limit our ability to dispose of assets at attractive prices or to obtain debt financing secured by our properties and may reduce the availability of unsecured loans;</w:t>
      </w:r>
    </w:p>
    <w:p>
      <w:pPr>
        <w:spacing w:after="0" w:line="109" w:lineRule="exact"/>
        <w:rPr>
          <w:rFonts w:ascii="Arial" w:cs="Arial" w:eastAsia="Arial" w:hAnsi="Arial"/>
          <w:sz w:val="16"/>
          <w:szCs w:val="16"/>
          <w:color w:val="auto"/>
        </w:rPr>
      </w:pPr>
    </w:p>
    <w:p>
      <w:pPr>
        <w:ind w:left="640" w:right="140" w:hanging="290"/>
        <w:spacing w:after="0" w:line="250"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value and liquidity of our short-term investments and cash deposits could be reduced as a result of a deterioration of the financial condition of the institutions that hold our cash deposits or the institutions or assets in which we have made short-term investments, a dislocation of the markets for our short-term investments, increased volatility in market rates for such investments or other factors;</w:t>
      </w:r>
    </w:p>
    <w:p>
      <w:pPr>
        <w:spacing w:after="0" w:line="124" w:lineRule="exact"/>
        <w:rPr>
          <w:rFonts w:ascii="Arial" w:cs="Arial" w:eastAsia="Arial" w:hAnsi="Arial"/>
          <w:sz w:val="16"/>
          <w:szCs w:val="16"/>
          <w:color w:val="auto"/>
        </w:rPr>
      </w:pPr>
    </w:p>
    <w:p>
      <w:pPr>
        <w:ind w:left="640" w:right="240" w:hanging="290"/>
        <w:spacing w:after="0" w:line="253"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 or more lenders under our line of credit could refuse to fund their financing commitment to us or could fail and we may not be able to replace the financing commitment of any such lenders on favorable terms, or at all; and</w:t>
      </w:r>
    </w:p>
    <w:p>
      <w:pPr>
        <w:spacing w:after="0" w:line="121" w:lineRule="exact"/>
        <w:rPr>
          <w:rFonts w:ascii="Arial" w:cs="Arial" w:eastAsia="Arial" w:hAnsi="Arial"/>
          <w:sz w:val="16"/>
          <w:szCs w:val="16"/>
          <w:color w:val="auto"/>
        </w:rPr>
      </w:pPr>
    </w:p>
    <w:p>
      <w:pPr>
        <w:ind w:left="640" w:right="420" w:hanging="290"/>
        <w:spacing w:after="0" w:line="253"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the extent we enter into derivative financial instruments, one or more counterparties to our derivative financial instruments could default on their obligations to us, or could fail, increasing the risk that we may not realize the benefits of these instruments.</w:t>
      </w:r>
    </w:p>
    <w:p>
      <w:pPr>
        <w:spacing w:after="0" w:line="187" w:lineRule="exact"/>
        <w:rPr>
          <w:sz w:val="20"/>
          <w:szCs w:val="20"/>
          <w:color w:val="auto"/>
        </w:rPr>
      </w:pPr>
    </w:p>
    <w:p>
      <w:pPr>
        <w:ind w:left="60" w:right="100"/>
        <w:spacing w:after="0" w:line="277" w:lineRule="auto"/>
        <w:rPr>
          <w:sz w:val="20"/>
          <w:szCs w:val="20"/>
          <w:color w:val="auto"/>
        </w:rPr>
      </w:pPr>
      <w:r>
        <w:rPr>
          <w:rFonts w:ascii="Arial" w:cs="Arial" w:eastAsia="Arial" w:hAnsi="Arial"/>
          <w:sz w:val="16"/>
          <w:szCs w:val="16"/>
          <w:b w:val="1"/>
          <w:bCs w:val="1"/>
          <w:i w:val="1"/>
          <w:iCs w:val="1"/>
          <w:color w:val="auto"/>
        </w:rPr>
        <w:t>The outbreak of highly infectious or contagious diseases, such as COVID-19, could adversely impact or cause disruption to our financial condition, results of operations, cash flows and liquidity and that of our clients.</w:t>
      </w:r>
    </w:p>
    <w:p>
      <w:pPr>
        <w:spacing w:after="0" w:line="55" w:lineRule="exact"/>
        <w:rPr>
          <w:sz w:val="20"/>
          <w:szCs w:val="20"/>
          <w:color w:val="auto"/>
        </w:rPr>
      </w:pPr>
    </w:p>
    <w:p>
      <w:pPr>
        <w:ind w:firstLine="391"/>
        <w:spacing w:after="0" w:line="267" w:lineRule="auto"/>
        <w:rPr>
          <w:sz w:val="20"/>
          <w:szCs w:val="20"/>
          <w:color w:val="auto"/>
        </w:rPr>
      </w:pPr>
      <w:r>
        <w:rPr>
          <w:rFonts w:ascii="Arial" w:cs="Arial" w:eastAsia="Arial" w:hAnsi="Arial"/>
          <w:sz w:val="15"/>
          <w:szCs w:val="15"/>
          <w:color w:val="auto"/>
        </w:rPr>
        <w:t>Public health crises such as pandemics or similar outbreaks could adversely impact our business. For example, there remains uncertainty regarding the degree to which the COVID-19 pandemic may continue to adversely impact our business, financial condition, results of operation, cash flows and liquidity, and that of our clients. These uncertainties include the emergence of new virus strains, availability of effective treatment, possible future governmental responses and the severity and duration of the indirect economic and social impacts of the COVID 19-pandemic, such as economic downturn, supply chain disruptions, labor market disruptions, inflation, increasing interest rates, dislocation and volatility in capital markets, job losses and potential longer-term changes in consumer and client behavior. These uncertainties make it impossible for us to predict with certainty the overall impact that COVID-19 will have on us and our clients prospectively. Factors related to COVID-19 that have had, or could have, a material adverse effect on our results of operations and financial condition, include:</w:t>
      </w:r>
    </w:p>
    <w:p>
      <w:pPr>
        <w:spacing w:after="0" w:line="114" w:lineRule="exact"/>
        <w:rPr>
          <w:sz w:val="20"/>
          <w:szCs w:val="20"/>
          <w:color w:val="auto"/>
        </w:rPr>
      </w:pPr>
    </w:p>
    <w:p>
      <w:pPr>
        <w:ind w:left="640" w:hanging="290"/>
        <w:spacing w:after="0" w:line="250" w:lineRule="auto"/>
        <w:tabs>
          <w:tab w:leader="none" w:pos="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made by companies in response to the COVID-19 pandemic that could lead to a sustained shift away from collective in-person work environments or relocations away from the markets in which we operate, either of which could adversely affect the overall demand for workplaces in the regions in which we operate;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right="220" w:hanging="290"/>
        <w:spacing w:after="0" w:line="249"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reduced economic activity and/or supply chain disruptions or delays in delivery of products, services or other materials necessary for our clients that impact our clients’ businesses, financial condition or liquidity has caused, and may continue to cause, one or more of our clients to be unable to meet their obligations to us, including their ability to make timely rental payments, in full or at all, or to otherwise seek modifications of such obligations, including rent concessions, deferrals or abatements, or to declare bankruptcy. Any one or more of the foregoing could:</w:t>
      </w:r>
    </w:p>
    <w:p>
      <w:pPr>
        <w:spacing w:after="0" w:line="66" w:lineRule="exact"/>
        <w:rPr>
          <w:rFonts w:ascii="Arial" w:cs="Arial" w:eastAsia="Arial" w:hAnsi="Arial"/>
          <w:sz w:val="16"/>
          <w:szCs w:val="16"/>
          <w:color w:val="auto"/>
        </w:rPr>
      </w:pPr>
    </w:p>
    <w:p>
      <w:pPr>
        <w:ind w:left="1280" w:hanging="290"/>
        <w:spacing w:after="0"/>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reduce our cash flows,</w:t>
      </w:r>
    </w:p>
    <w:p>
      <w:pPr>
        <w:spacing w:after="0" w:line="100" w:lineRule="exact"/>
        <w:rPr>
          <w:rFonts w:ascii="Arial" w:cs="Arial" w:eastAsia="Arial" w:hAnsi="Arial"/>
          <w:sz w:val="16"/>
          <w:szCs w:val="16"/>
          <w:color w:val="auto"/>
        </w:rPr>
      </w:pPr>
    </w:p>
    <w:p>
      <w:pPr>
        <w:ind w:left="1280" w:hanging="290"/>
        <w:spacing w:after="0"/>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adversely impact our ability to finance, refinance or sell a property,</w:t>
      </w:r>
    </w:p>
    <w:p>
      <w:pPr>
        <w:spacing w:after="0" w:line="100" w:lineRule="exact"/>
        <w:rPr>
          <w:rFonts w:ascii="Arial" w:cs="Arial" w:eastAsia="Arial" w:hAnsi="Arial"/>
          <w:sz w:val="16"/>
          <w:szCs w:val="16"/>
          <w:color w:val="auto"/>
        </w:rPr>
      </w:pPr>
    </w:p>
    <w:p>
      <w:pPr>
        <w:ind w:left="1280" w:hanging="290"/>
        <w:spacing w:after="0"/>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adversely impact our ability to continue paying distributions to our equityholders at current levels, or at all, and</w:t>
      </w:r>
    </w:p>
    <w:p>
      <w:pPr>
        <w:spacing w:after="0" w:line="100" w:lineRule="exact"/>
        <w:rPr>
          <w:rFonts w:ascii="Arial" w:cs="Arial" w:eastAsia="Arial" w:hAnsi="Arial"/>
          <w:sz w:val="16"/>
          <w:szCs w:val="16"/>
          <w:color w:val="auto"/>
        </w:rPr>
      </w:pPr>
    </w:p>
    <w:p>
      <w:pPr>
        <w:ind w:left="1280" w:hanging="290"/>
        <w:spacing w:after="0"/>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result in additional legal and other costs to enforce our rights, collect rent and/or re-lease the space occupied by the distressed client;</w:t>
      </w:r>
    </w:p>
    <w:p>
      <w:pPr>
        <w:spacing w:after="0" w:line="135" w:lineRule="exact"/>
        <w:rPr>
          <w:rFonts w:ascii="Arial" w:cs="Arial" w:eastAsia="Arial" w:hAnsi="Arial"/>
          <w:sz w:val="16"/>
          <w:szCs w:val="16"/>
          <w:color w:val="auto"/>
        </w:rPr>
      </w:pPr>
    </w:p>
    <w:p>
      <w:pPr>
        <w:ind w:left="640" w:right="60" w:hanging="290"/>
        <w:spacing w:after="0" w:line="253"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degree to which our clients’ businesses have been, and continue to be, negatively impacted has required, and may in the future require, us to write-off a client’s accrued rent balance and this could have a material adverse effect on our results of operations and liquidity;</w:t>
      </w:r>
    </w:p>
    <w:p>
      <w:pPr>
        <w:spacing w:after="0" w:line="121" w:lineRule="exact"/>
        <w:rPr>
          <w:rFonts w:ascii="Arial" w:cs="Arial" w:eastAsia="Arial" w:hAnsi="Arial"/>
          <w:sz w:val="16"/>
          <w:szCs w:val="16"/>
          <w:color w:val="auto"/>
        </w:rPr>
      </w:pPr>
    </w:p>
    <w:p>
      <w:pPr>
        <w:ind w:left="640" w:right="400" w:hanging="290"/>
        <w:spacing w:after="0" w:line="253"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new laws, governmental policies, and similar actions, including legal restrictions on prosecutions, could adversely impact public safety and thereby adversely affect (1) the desirability of clients to lease space in our properties or markets, and (2) businesses’ office re-population plans;</w:t>
      </w:r>
    </w:p>
    <w:p>
      <w:pPr>
        <w:spacing w:after="0" w:line="109" w:lineRule="exact"/>
        <w:rPr>
          <w:rFonts w:ascii="Arial" w:cs="Arial" w:eastAsia="Arial" w:hAnsi="Arial"/>
          <w:sz w:val="16"/>
          <w:szCs w:val="16"/>
          <w:color w:val="auto"/>
        </w:rPr>
      </w:pPr>
    </w:p>
    <w:p>
      <w:pPr>
        <w:ind w:left="640" w:right="120" w:hanging="290"/>
        <w:spacing w:after="0" w:line="250"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impact of COVID-19 could result in an event or change in circumstances that results in an impairment in the value of our properties or our investments in unconsolidated joint ventures, and any such impairment could have a material adverse effect on our results of operations in the periods in which the charge is taken;</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restructure or amend leases with certain of our clients on terms favorable to us or at all;</w:t>
      </w:r>
    </w:p>
    <w:p>
      <w:pPr>
        <w:spacing w:after="0" w:line="135" w:lineRule="exact"/>
        <w:rPr>
          <w:rFonts w:ascii="Arial" w:cs="Arial" w:eastAsia="Arial" w:hAnsi="Arial"/>
          <w:sz w:val="16"/>
          <w:szCs w:val="16"/>
          <w:color w:val="auto"/>
        </w:rPr>
      </w:pPr>
    </w:p>
    <w:p>
      <w:pPr>
        <w:ind w:left="640" w:right="160" w:hanging="290"/>
        <w:spacing w:after="0" w:line="250"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impact and validity of interpretations of lease provisions and applicable laws related to claims by clients regarding their obligations to pay rent as a result of COVID-19, and any adverse court rulings or decisions interpreting these provisions and laws, could have a material adverse effect on our results of operations and liquidity;</w:t>
      </w:r>
    </w:p>
    <w:p>
      <w:pPr>
        <w:spacing w:after="0" w:line="88" w:lineRule="exact"/>
        <w:rPr>
          <w:rFonts w:ascii="Arial" w:cs="Arial" w:eastAsia="Arial" w:hAnsi="Arial"/>
          <w:sz w:val="16"/>
          <w:szCs w:val="16"/>
          <w:color w:val="auto"/>
        </w:rPr>
      </w:pPr>
    </w:p>
    <w:p>
      <w:pPr>
        <w:ind w:left="640" w:right="480" w:hanging="290"/>
        <w:spacing w:after="0" w:line="253"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impact of governmental and business travel limitations and restrictions have had, and may in the future have, a material adverse effect on the operator of our hotel property, which negatively impacts our revenues, and may result in sustained decreased demand for hotel stays;</w:t>
      </w:r>
    </w:p>
    <w:p>
      <w:pPr>
        <w:spacing w:after="0" w:line="109" w:lineRule="exact"/>
        <w:rPr>
          <w:rFonts w:ascii="Arial" w:cs="Arial" w:eastAsia="Arial" w:hAnsi="Arial"/>
          <w:sz w:val="16"/>
          <w:szCs w:val="16"/>
          <w:color w:val="auto"/>
        </w:rPr>
      </w:pPr>
    </w:p>
    <w:p>
      <w:pPr>
        <w:ind w:left="640" w:hanging="290"/>
        <w:spacing w:after="0" w:line="248"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of labor shortages, disruptions in the supply chains, inflation impacting costs of materials, delays in permitting or inspections, and other factors could result in our failure to meet the development milestones set forth in any applicable lease agreement, which could provide the client the right to terminate its lease or entitle the client to monetary damages, delay the commencement or completion of construction and our anticipated lease-up plans for a development/redevelopment project or our overall development pipeline, including recognizing revenue for new leases, that may cause returns on investment to be less than projected, and/or increase the costs of construction of new or existing projects, any of which could adversely affect our investment returns, profitability and/or our future growth; and</w:t>
      </w:r>
    </w:p>
    <w:p>
      <w:pPr>
        <w:spacing w:after="0" w:line="127" w:lineRule="exact"/>
        <w:rPr>
          <w:rFonts w:ascii="Arial" w:cs="Arial" w:eastAsia="Arial" w:hAnsi="Arial"/>
          <w:sz w:val="16"/>
          <w:szCs w:val="16"/>
          <w:color w:val="auto"/>
        </w:rPr>
      </w:pPr>
    </w:p>
    <w:p>
      <w:pPr>
        <w:ind w:left="640" w:right="80" w:hanging="290"/>
        <w:spacing w:after="0" w:line="253"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potential that business interruption, loss of rental income and/or other associated expenses related to our operations will not be covered in whole or in part by our insurance policies, which may increase unreimbursed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key personnel whose continued service is not guaranteed.</w:t>
      </w:r>
    </w:p>
    <w:p>
      <w:pPr>
        <w:spacing w:after="0" w:line="95"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We depend on the efforts of key personnel, particularly Owen D. Thomas, Chief Executive Officer, Douglas T. Linde, President, and Raymond A. Ritchey, Senior Executive Vice President. Among the reasons that Messrs. Thomas, Linde and Ritchey are important to our success is that each has a national reputation, which attracts business and investment opportunities and assists us in negotiations with lenders, joint venture partners and other investors. If we lost their services, our relationships with lenders, potential clients and industry personnel could diminish.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firstLine="391"/>
        <w:spacing w:after="0" w:line="275" w:lineRule="auto"/>
        <w:rPr>
          <w:sz w:val="20"/>
          <w:szCs w:val="20"/>
          <w:color w:val="auto"/>
        </w:rPr>
      </w:pPr>
      <w:r>
        <w:rPr>
          <w:rFonts w:ascii="Arial" w:cs="Arial" w:eastAsia="Arial" w:hAnsi="Arial"/>
          <w:sz w:val="15"/>
          <w:szCs w:val="15"/>
          <w:color w:val="auto"/>
        </w:rPr>
        <w:t>Our Chief Financial Officer and Regional Managers also have strong reputations. Their reputations aid us in identifying opportunities, having opportunities brought to us, and negotiating with clients and build-to-suit prospects. While we believe that we could find replacements for these key personnel, the loss of their services could materially and adversely affect our operations because of diminished relationships with lenders, prospective clients and industry personnel.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Real Estate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performance and value are subject to risks associated with our real estate assets and with the real estate industry.</w:t>
      </w:r>
    </w:p>
    <w:p>
      <w:pPr>
        <w:spacing w:after="0" w:line="95" w:lineRule="exact"/>
        <w:rPr>
          <w:sz w:val="20"/>
          <w:szCs w:val="20"/>
          <w:color w:val="auto"/>
        </w:rPr>
      </w:pPr>
    </w:p>
    <w:p>
      <w:pPr>
        <w:jc w:val="both"/>
        <w:ind w:firstLine="391"/>
        <w:spacing w:after="0" w:line="275" w:lineRule="auto"/>
        <w:rPr>
          <w:sz w:val="20"/>
          <w:szCs w:val="20"/>
          <w:color w:val="auto"/>
        </w:rPr>
      </w:pPr>
      <w:r>
        <w:rPr>
          <w:rFonts w:ascii="Arial" w:cs="Arial" w:eastAsia="Arial" w:hAnsi="Arial"/>
          <w:sz w:val="15"/>
          <w:szCs w:val="15"/>
          <w:color w:val="auto"/>
        </w:rPr>
        <w:t>Our economic performance and the value of our real estate assets, and consequently the value of our securities, are subject to the risk that if our properties do not generate revenues sufficient to meet our operating expenses, including debt service and capital expenditures, our cash flow and ability to pay distributions to our securityholders will be adversely affected. The following factors, among others, may adversely affect the income generated by our properties:</w:t>
      </w:r>
    </w:p>
    <w:p>
      <w:pPr>
        <w:spacing w:after="0" w:line="106" w:lineRule="exact"/>
        <w:rPr>
          <w:sz w:val="20"/>
          <w:szCs w:val="20"/>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downturns in the national, regional and local economic conditions (particularly increases in unemployment);</w:t>
      </w:r>
    </w:p>
    <w:p>
      <w:pPr>
        <w:spacing w:after="0" w:line="135" w:lineRule="exact"/>
        <w:rPr>
          <w:rFonts w:ascii="Arial" w:cs="Arial" w:eastAsia="Arial" w:hAnsi="Arial"/>
          <w:sz w:val="16"/>
          <w:szCs w:val="16"/>
          <w:color w:val="auto"/>
        </w:rPr>
      </w:pPr>
    </w:p>
    <w:p>
      <w:pPr>
        <w:ind w:left="640" w:right="80" w:hanging="290"/>
        <w:spacing w:after="0" w:line="253"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client preferences and space utilization from full-time, collective in-person work environments to hybrid or remote work models, which could decrease overall demand for workplaces and cause market rental rates and property values to be negatively impacted;</w:t>
      </w:r>
    </w:p>
    <w:p>
      <w:pPr>
        <w:spacing w:after="0" w:line="109"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competition from other office, life sciences, hotel, retail and residential buildings;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local real estate market conditions, such as oversupply or reduction in demand for office, life sciences, hotel, retail or residential space;</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interest rates and availability of financing;</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vacancies, changes in market rental rates and the need to periodically repair, renovate and re-let space;</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delays in completion of development and redevelopment projects due to supply chain disruptions and labor shortages;</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costs to maintain, renovate and develop our properties related to inflation;</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space utilization by our clients due to technology, economic conditions and business culture;</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operating costs, including insurance expense, utilities, real estate taxes, state and local taxes and heightened security costs;</w:t>
      </w:r>
    </w:p>
    <w:p>
      <w:pPr>
        <w:spacing w:after="0" w:line="124" w:lineRule="exact"/>
        <w:rPr>
          <w:rFonts w:ascii="Arial" w:cs="Arial" w:eastAsia="Arial" w:hAnsi="Arial"/>
          <w:sz w:val="16"/>
          <w:szCs w:val="16"/>
          <w:color w:val="auto"/>
        </w:rPr>
      </w:pPr>
    </w:p>
    <w:p>
      <w:pPr>
        <w:ind w:left="640" w:right="480" w:hanging="290"/>
        <w:spacing w:after="0" w:line="253"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civil disturbances, earthquakes and other natural disasters or terrorist acts or acts of war which may result in uninsured or underinsured losses or decrease the desirability to our clients in impacted locations;</w:t>
      </w:r>
    </w:p>
    <w:p>
      <w:pPr>
        <w:spacing w:after="0" w:line="121" w:lineRule="exact"/>
        <w:rPr>
          <w:rFonts w:ascii="Arial" w:cs="Arial" w:eastAsia="Arial" w:hAnsi="Arial"/>
          <w:sz w:val="16"/>
          <w:szCs w:val="16"/>
          <w:color w:val="auto"/>
        </w:rPr>
      </w:pPr>
    </w:p>
    <w:p>
      <w:pPr>
        <w:ind w:left="640" w:right="180" w:hanging="290"/>
        <w:spacing w:after="0" w:line="286" w:lineRule="auto"/>
        <w:tabs>
          <w:tab w:leader="none" w:pos="6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significant expenditures associated with each investment, such as debt service payments, real estate taxes (including reassessments and changes in tax laws), insurance and maintenance costs which are generally not reduced when circumstances cause a reduction in revenues from a property;</w:t>
      </w:r>
    </w:p>
    <w:p>
      <w:pPr>
        <w:spacing w:after="0" w:line="98" w:lineRule="exact"/>
        <w:rPr>
          <w:rFonts w:ascii="Arial" w:cs="Arial" w:eastAsia="Arial" w:hAnsi="Arial"/>
          <w:sz w:val="15"/>
          <w:szCs w:val="15"/>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declines in the financial condition of our clients and our ability to collect rents from our clients; and</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decreases in the underlying value of our real estate.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adverse effects from major clients’ bankruptcies or insolvencies.</w:t>
      </w:r>
    </w:p>
    <w:p>
      <w:pPr>
        <w:spacing w:after="0" w:line="107"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The bankruptcy or insolvency of a major client may adversely affect the income produced by our properties. Our clients could file for bankruptcy protection or become insolvent in the future. We cannot evict a client solely because of its bankruptcy. On the other hand, a bankrupt client may reject and terminate its lease with us. In such case, our claim against the bankrupt client for unpaid and future rent would be subject to a statutory cap that might be substantially less than the remaining rent actually owed under the lease, and, even so, our claim for unpaid rent would likely not be paid in full. This shortfall could adversely affect our cash flow and results of operations.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properties face significant competition.</w:t>
      </w:r>
    </w:p>
    <w:p>
      <w:pPr>
        <w:spacing w:after="0" w:line="95" w:lineRule="exact"/>
        <w:rPr>
          <w:sz w:val="20"/>
          <w:szCs w:val="20"/>
          <w:color w:val="auto"/>
        </w:rPr>
      </w:pPr>
    </w:p>
    <w:p>
      <w:pPr>
        <w:ind w:right="20" w:firstLine="391"/>
        <w:spacing w:after="0" w:line="271" w:lineRule="auto"/>
        <w:rPr>
          <w:sz w:val="20"/>
          <w:szCs w:val="20"/>
          <w:color w:val="auto"/>
        </w:rPr>
      </w:pPr>
      <w:r>
        <w:rPr>
          <w:rFonts w:ascii="Arial" w:cs="Arial" w:eastAsia="Arial" w:hAnsi="Arial"/>
          <w:sz w:val="15"/>
          <w:szCs w:val="15"/>
          <w:color w:val="auto"/>
        </w:rPr>
        <w:t>We face significant competition from developers, owners and managers of office, life sciences and residential properties and other commercial real estate, including sublease space available from our clients. Substantially all of our properties face competition from similar properties in the same market. This competition may affect our ability to attract and retain clients and may reduce the rents we are able to charge. These competing properties may have vacancy rates higher than our properties, which may result in their owners being willing to lease available space at lower rates than the space in our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difficulties or delays renewing leases or re-leasing space.</w:t>
      </w:r>
    </w:p>
    <w:p>
      <w:pPr>
        <w:spacing w:after="0" w:line="107"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We derive most of our income from rent received from our clients. If a client experiences a downturn in its business or other types of financial distress, it may be unable to make timely rental payments. Also, when our clients decide not to renew their leases, renew for less space or terminate early, we may not be able to re-let the space or there could be a substantial delay in re-letting the space. Even if clients decide to renew or lease new space, the terms of renewals or new leases, including the cost of required renovations or concessions to clients, may be less favorable to us than current lease terms. As a result, our cash flow could decrease and our ability to make distributions to our securityholders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actual costs to develop properties may exceed our budgeted costs.</w:t>
      </w:r>
    </w:p>
    <w:p>
      <w:pPr>
        <w:spacing w:after="0" w:line="107"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We intend to continue to develop and substantially renovate office, life sciences, retail and residential properties. Our current and future development and construction activities may be exposed to the following risks:</w:t>
      </w:r>
    </w:p>
    <w:p>
      <w:pPr>
        <w:spacing w:after="0" w:line="122" w:lineRule="exact"/>
        <w:rPr>
          <w:sz w:val="20"/>
          <w:szCs w:val="20"/>
          <w:color w:val="auto"/>
        </w:rPr>
      </w:pPr>
    </w:p>
    <w:p>
      <w:pPr>
        <w:ind w:left="640" w:hanging="290"/>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proceed with the development of properties because we cannot obtain financing on favorable terms or at all;</w:t>
      </w:r>
    </w:p>
    <w:p>
      <w:pPr>
        <w:spacing w:after="0" w:line="124" w:lineRule="exact"/>
        <w:rPr>
          <w:rFonts w:ascii="Arial" w:cs="Arial" w:eastAsia="Arial" w:hAnsi="Arial"/>
          <w:sz w:val="16"/>
          <w:szCs w:val="16"/>
          <w:color w:val="auto"/>
        </w:rPr>
      </w:pPr>
    </w:p>
    <w:p>
      <w:pPr>
        <w:ind w:left="640" w:hanging="290"/>
        <w:spacing w:after="0" w:line="250"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incur construction costs for a development project that exceed our original estimates due to increased materials, labor, leasing or other costs, increases in interest rates, or supply chain disruptions, any of which could make completion of the project less profitable because market rents may not increase sufficiently to compensate for the increase in construction costs;</w:t>
      </w:r>
    </w:p>
    <w:p>
      <w:pPr>
        <w:spacing w:after="0" w:line="124" w:lineRule="exact"/>
        <w:rPr>
          <w:rFonts w:ascii="Arial" w:cs="Arial" w:eastAsia="Arial" w:hAnsi="Arial"/>
          <w:sz w:val="16"/>
          <w:szCs w:val="16"/>
          <w:color w:val="auto"/>
        </w:rPr>
      </w:pPr>
    </w:p>
    <w:p>
      <w:pPr>
        <w:ind w:left="640" w:right="720" w:hanging="290"/>
        <w:spacing w:after="0" w:line="253"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obtain, or face delays in obtaining, required zoning, land-use, building, occupancy, and other governmental permits and authorizations, which could result in increased costs and could require us to abandon our activities entirely with respect to a project;</w:t>
      </w:r>
    </w:p>
    <w:p>
      <w:pPr>
        <w:spacing w:after="0" w:line="121" w:lineRule="exact"/>
        <w:rPr>
          <w:rFonts w:ascii="Arial" w:cs="Arial" w:eastAsia="Arial" w:hAnsi="Arial"/>
          <w:sz w:val="16"/>
          <w:szCs w:val="16"/>
          <w:color w:val="auto"/>
        </w:rPr>
      </w:pPr>
    </w:p>
    <w:p>
      <w:pPr>
        <w:ind w:left="640" w:right="80" w:hanging="290"/>
        <w:spacing w:after="0" w:line="253"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abandon development opportunities after we begin to explore them and, as a result, we may lose deposits or fail to recover expenses already incurred;</w:t>
      </w:r>
    </w:p>
    <w:p>
      <w:pPr>
        <w:spacing w:after="0" w:line="109" w:lineRule="exact"/>
        <w:rPr>
          <w:rFonts w:ascii="Arial" w:cs="Arial" w:eastAsia="Arial" w:hAnsi="Arial"/>
          <w:sz w:val="16"/>
          <w:szCs w:val="16"/>
          <w:color w:val="auto"/>
        </w:rPr>
      </w:pPr>
    </w:p>
    <w:p>
      <w:pPr>
        <w:ind w:left="640" w:hanging="290"/>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expend funds on and devote management’s time to projects that we do not complete;</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complete construction and/or leasing of a property on schedule or at all; and</w:t>
      </w:r>
    </w:p>
    <w:p>
      <w:pPr>
        <w:spacing w:after="0" w:line="135" w:lineRule="exact"/>
        <w:rPr>
          <w:rFonts w:ascii="Arial" w:cs="Arial" w:eastAsia="Arial" w:hAnsi="Arial"/>
          <w:sz w:val="16"/>
          <w:szCs w:val="16"/>
          <w:color w:val="auto"/>
        </w:rPr>
      </w:pPr>
    </w:p>
    <w:p>
      <w:pPr>
        <w:ind w:left="640" w:right="40" w:hanging="290"/>
        <w:spacing w:after="0" w:line="253"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suspend development projects after construction has begun due to changes in economic conditions or other factors, and this may result in the write-off of costs, payment of additional costs or increases in overall costs when the development project is restarted.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returns from our developed properties may be less than anticipated.</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developed properties may be exposed to the following risks:</w:t>
      </w:r>
    </w:p>
    <w:p>
      <w:pPr>
        <w:spacing w:after="0" w:line="136" w:lineRule="exact"/>
        <w:rPr>
          <w:sz w:val="20"/>
          <w:szCs w:val="20"/>
          <w:color w:val="auto"/>
        </w:rPr>
      </w:pPr>
    </w:p>
    <w:p>
      <w:pPr>
        <w:ind w:left="640" w:right="120" w:hanging="290"/>
        <w:spacing w:after="0" w:line="253"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lease developed properties at rental rates that are less than projected, or at a slower pace than projected, at the time we decide to undertake the development;</w:t>
      </w:r>
    </w:p>
    <w:p>
      <w:pPr>
        <w:spacing w:after="0" w:line="109" w:lineRule="exact"/>
        <w:rPr>
          <w:rFonts w:ascii="Arial" w:cs="Arial" w:eastAsia="Arial" w:hAnsi="Arial"/>
          <w:sz w:val="16"/>
          <w:szCs w:val="16"/>
          <w:color w:val="auto"/>
        </w:rPr>
      </w:pPr>
    </w:p>
    <w:p>
      <w:pPr>
        <w:ind w:left="640" w:right="100" w:hanging="290"/>
        <w:spacing w:after="0" w:line="253"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expenses and construction costs may be greater than projected at the time of development, resulting in our investment being less profitable than we expected; and</w:t>
      </w:r>
    </w:p>
    <w:p>
      <w:pPr>
        <w:spacing w:after="0" w:line="121" w:lineRule="exact"/>
        <w:rPr>
          <w:rFonts w:ascii="Arial" w:cs="Arial" w:eastAsia="Arial" w:hAnsi="Arial"/>
          <w:sz w:val="16"/>
          <w:szCs w:val="16"/>
          <w:color w:val="auto"/>
        </w:rPr>
      </w:pPr>
    </w:p>
    <w:p>
      <w:pPr>
        <w:ind w:left="640" w:right="80" w:hanging="290"/>
        <w:spacing w:after="0" w:line="253"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occupancy rates and rents at newly developed properties may fluctuate depending on a number of factors, including market and economic conditions, and may result in our investments being less profitable than we expected or not profitable at all.</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60"/>
          </w:cols>
          <w:pgMar w:left="320" w:top="281" w:right="41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the development of mixed-use commercial properties.</w:t>
      </w:r>
    </w:p>
    <w:p>
      <w:pPr>
        <w:spacing w:after="0" w:line="95" w:lineRule="exact"/>
        <w:rPr>
          <w:sz w:val="20"/>
          <w:szCs w:val="20"/>
          <w:color w:val="auto"/>
        </w:rPr>
      </w:pPr>
    </w:p>
    <w:p>
      <w:pPr>
        <w:ind w:firstLine="391"/>
        <w:spacing w:after="0" w:line="247" w:lineRule="auto"/>
        <w:rPr>
          <w:sz w:val="20"/>
          <w:szCs w:val="20"/>
          <w:color w:val="auto"/>
        </w:rPr>
      </w:pPr>
      <w:r>
        <w:rPr>
          <w:rFonts w:ascii="Arial" w:cs="Arial" w:eastAsia="Arial" w:hAnsi="Arial"/>
          <w:sz w:val="16"/>
          <w:szCs w:val="16"/>
          <w:color w:val="auto"/>
        </w:rPr>
        <w:t>We operate, are currently developing, and may in the future develop, properties either alone or through joint ventures with other persons that are known as “mixed-use” developments. This means that in addition to the development of office space, the project may also include space for residential, retail, hotel or other commercial purposes. We have less experience in developing and managing non-office and non-retail real estate than we do with office real estate. As a result, if a development project includes a non-office or non-retail use, we may seek to develop that component ourselves, sell the rights to that component to a third-party developer with experience in that use or we may seek to partner with such a developer. If we do not sell the rights or partner with such a developer, or if we choose to develop the other component ourselves, we would be exposed not only to those risks typically associated with the development of commercial real estate generally, but also to specific risks associated with the development and ownership of non-office and non-retail real estate. In addition, even if we sell the rights to develop the other component or elect to participate in the development through a joint venture, we may be exposed to the risks associated with the failure of the other party to complete the development as expected. These include the risk that the other party would default on its obligations necessitating that we complete the other component ourselves (including providing any necessary financing). In the case of residential properties, these risks include competition for prospective residents from other operators whose properties may be perceived to offer a better location or better amenities or whose rent may be perceived as a better value given the quality, location and amenities that the resident seeks. We will also compete against condominiums and single-family homes that are for sale or rent. Because we have less experience with residential properties than with office and retail properties, we expect to retain third parties to manage our residential properties. If we decide to not sell or participate in a joint venture and instead hire a third party manager, we would be dependent on them and their key personnel who provide services to us and we may not find a suitable replacement if the management agreement is terminated, or if key personnel leave or otherwise become unavailable to us.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Our use of joint ventures and participation in the Strategic Capital Program may limit our control over and flexibility with jointly owned investments and other assets we may wish to acquire.</w:t>
      </w:r>
    </w:p>
    <w:p>
      <w:pPr>
        <w:spacing w:after="0" w:line="55" w:lineRule="exact"/>
        <w:rPr>
          <w:sz w:val="20"/>
          <w:szCs w:val="20"/>
          <w:color w:val="auto"/>
        </w:rPr>
      </w:pPr>
    </w:p>
    <w:p>
      <w:pPr>
        <w:jc w:val="both"/>
        <w:ind w:firstLine="391"/>
        <w:spacing w:after="0" w:line="250" w:lineRule="auto"/>
        <w:rPr>
          <w:sz w:val="20"/>
          <w:szCs w:val="20"/>
          <w:color w:val="auto"/>
        </w:rPr>
      </w:pPr>
      <w:r>
        <w:rPr>
          <w:rFonts w:ascii="Arial" w:cs="Arial" w:eastAsia="Arial" w:hAnsi="Arial"/>
          <w:sz w:val="16"/>
          <w:szCs w:val="16"/>
          <w:color w:val="auto"/>
        </w:rPr>
        <w:t>In appropriate circumstances, we intend to acquire and recapitalize or develop, as applicable, properties in joint ventures with other persons or entities. We currently have joint ventures that are and are not consolidated within our financial statements. Our participation in joint ventures subjects us to risks, including but not limited to, the following risks that:</w:t>
      </w:r>
    </w:p>
    <w:p>
      <w:pPr>
        <w:spacing w:after="0" w:line="112" w:lineRule="exact"/>
        <w:rPr>
          <w:sz w:val="20"/>
          <w:szCs w:val="20"/>
          <w:color w:val="auto"/>
        </w:rPr>
      </w:pPr>
    </w:p>
    <w:p>
      <w:pPr>
        <w:ind w:left="640" w:right="160" w:hanging="290"/>
        <w:spacing w:after="0" w:line="250"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 partners may have different objectives than we have regarding the appropriate timing and terms of any sale or refinancing of a property, its operation or, if applicable, the commencement of development activities, and a dispute with any of our joint venture partners could lead to the sale of a partner’s ownership interest in the venture or the property at a time or price that we do not find attractive;</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some of our joint ventures are subject to debt and, depending on credit market conditions, the refinancing of such debt may require equity capital calls;</w:t>
      </w:r>
    </w:p>
    <w:p>
      <w:pPr>
        <w:spacing w:after="0" w:line="147" w:lineRule="exact"/>
        <w:rPr>
          <w:rFonts w:ascii="Arial" w:cs="Arial" w:eastAsia="Arial" w:hAnsi="Arial"/>
          <w:sz w:val="15"/>
          <w:szCs w:val="15"/>
          <w:color w:val="auto"/>
        </w:rPr>
      </w:pPr>
    </w:p>
    <w:p>
      <w:pPr>
        <w:jc w:val="both"/>
        <w:ind w:left="640" w:right="180" w:hanging="290"/>
        <w:spacing w:after="0" w:line="250"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 partners may be structured differently than us for tax purposes and this could create conflicts of interest, including with respect to our compliance with the REIT requirements, and our REIT status could be jeopardized if any of our joint ventures do not operate in compliance with REIT requirements;</w:t>
      </w:r>
    </w:p>
    <w:p>
      <w:pPr>
        <w:spacing w:after="0" w:line="112" w:lineRule="exact"/>
        <w:rPr>
          <w:rFonts w:ascii="Arial" w:cs="Arial" w:eastAsia="Arial" w:hAnsi="Arial"/>
          <w:sz w:val="16"/>
          <w:szCs w:val="16"/>
          <w:color w:val="auto"/>
        </w:rPr>
      </w:pPr>
    </w:p>
    <w:p>
      <w:pPr>
        <w:ind w:left="640" w:hanging="290"/>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 partners may have competing interests in our markets that could create conflicts of interest;</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 partners may default on their obligations, which could necessitate that we fulfill their obligations ourselves;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ventures may be unable to repay any amounts that we may loan to them;</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joint venture agreements may contain provisions limiting the liquidity of our interest for sale or sale of the entire asset;</w:t>
      </w:r>
    </w:p>
    <w:p>
      <w:pPr>
        <w:spacing w:after="0" w:line="135" w:lineRule="exact"/>
        <w:rPr>
          <w:rFonts w:ascii="Arial" w:cs="Arial" w:eastAsia="Arial" w:hAnsi="Arial"/>
          <w:sz w:val="16"/>
          <w:szCs w:val="16"/>
          <w:color w:val="auto"/>
        </w:rPr>
      </w:pPr>
    </w:p>
    <w:p>
      <w:pPr>
        <w:ind w:left="640" w:right="320" w:hanging="290"/>
        <w:spacing w:after="0" w:line="253"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the general partner or managing member of a joint venture, we could be generally liable under applicable law for the debts and obligations of the venture, and we may not be entitled to contribution or indemnification from our partners;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right="200" w:hanging="290"/>
        <w:spacing w:after="0" w:line="253"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joint venture agreements may contain provisions that allow our partners to remove us as the general partner or managing member for cause, and this could result in liability for us to our partners under the governing agreement of the joint venture;</w:t>
      </w:r>
    </w:p>
    <w:p>
      <w:pPr>
        <w:spacing w:after="0" w:line="109" w:lineRule="exact"/>
        <w:rPr>
          <w:rFonts w:ascii="Arial" w:cs="Arial" w:eastAsia="Arial" w:hAnsi="Arial"/>
          <w:sz w:val="16"/>
          <w:szCs w:val="16"/>
          <w:color w:val="auto"/>
        </w:rPr>
      </w:pPr>
    </w:p>
    <w:p>
      <w:pPr>
        <w:ind w:left="640" w:right="120" w:hanging="290"/>
        <w:spacing w:after="0" w:line="253"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need our partner(s)’ approval to take certain actions and, therefore, we may be unable to cause a joint venture to implement decisions that we consider advisable; and</w:t>
      </w:r>
    </w:p>
    <w:p>
      <w:pPr>
        <w:spacing w:after="0" w:line="121" w:lineRule="exact"/>
        <w:rPr>
          <w:rFonts w:ascii="Arial" w:cs="Arial" w:eastAsia="Arial" w:hAnsi="Arial"/>
          <w:sz w:val="16"/>
          <w:szCs w:val="16"/>
          <w:color w:val="auto"/>
        </w:rPr>
      </w:pPr>
    </w:p>
    <w:p>
      <w:pPr>
        <w:ind w:left="640" w:right="420" w:hanging="290"/>
        <w:spacing w:after="0" w:line="253"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our participation in the co-investment program, we could lose opportunities to pursue properties that are within the program’s target investment criteria alone or with other partners with whom the terms of the joint venture and/or our returns could be more favorable to us.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the risk that third parties will not be able to service or repay loans we make to them.</w:t>
      </w:r>
    </w:p>
    <w:p>
      <w:pPr>
        <w:spacing w:after="0" w:line="95" w:lineRule="exact"/>
        <w:rPr>
          <w:sz w:val="20"/>
          <w:szCs w:val="20"/>
          <w:color w:val="auto"/>
        </w:rPr>
      </w:pPr>
    </w:p>
    <w:p>
      <w:pPr>
        <w:jc w:val="both"/>
        <w:ind w:firstLine="391"/>
        <w:spacing w:after="0" w:line="250" w:lineRule="auto"/>
        <w:rPr>
          <w:sz w:val="20"/>
          <w:szCs w:val="20"/>
          <w:color w:val="auto"/>
        </w:rPr>
      </w:pPr>
      <w:r>
        <w:rPr>
          <w:rFonts w:ascii="Arial" w:cs="Arial" w:eastAsia="Arial" w:hAnsi="Arial"/>
          <w:sz w:val="16"/>
          <w:szCs w:val="16"/>
          <w:color w:val="auto"/>
        </w:rPr>
        <w:t>From time to time, we have loaned and in the future may loan funds to (1) a third-party buyer to facilitate the sale of an asset by us to such third party, or (2) a third party in connection with the formation of a joint venture to acquire and/or develop a property. Making these loans subjects us to the following risks, each of which could have a material adverse effect on our cash flow, results of operations and/or financial condition:</w:t>
      </w:r>
    </w:p>
    <w:p>
      <w:pPr>
        <w:spacing w:after="0" w:line="124" w:lineRule="exact"/>
        <w:rPr>
          <w:sz w:val="20"/>
          <w:szCs w:val="20"/>
          <w:color w:val="auto"/>
        </w:rPr>
      </w:pPr>
    </w:p>
    <w:p>
      <w:pPr>
        <w:ind w:left="640" w:hanging="290"/>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third party may be unable to make full and timely payments of interest and principal on the loan when due;</w:t>
      </w:r>
    </w:p>
    <w:p>
      <w:pPr>
        <w:spacing w:after="0" w:line="135" w:lineRule="exact"/>
        <w:rPr>
          <w:rFonts w:ascii="Arial" w:cs="Arial" w:eastAsia="Arial" w:hAnsi="Arial"/>
          <w:sz w:val="16"/>
          <w:szCs w:val="16"/>
          <w:color w:val="auto"/>
        </w:rPr>
      </w:pPr>
    </w:p>
    <w:p>
      <w:pPr>
        <w:ind w:left="640" w:right="600" w:hanging="290"/>
        <w:spacing w:after="0" w:line="250"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third-party buyer to whom we provide seller financing does not manage the property well, or the property otherwise fails to meet financial projections, performs poorly or declines in value, then the buyer may not have the funds or ability to raise new debt with which to make required payments of interest and principal to us;</w:t>
      </w:r>
    </w:p>
    <w:p>
      <w:pPr>
        <w:spacing w:after="0" w:line="112" w:lineRule="exact"/>
        <w:rPr>
          <w:rFonts w:ascii="Arial" w:cs="Arial" w:eastAsia="Arial" w:hAnsi="Arial"/>
          <w:sz w:val="16"/>
          <w:szCs w:val="16"/>
          <w:color w:val="auto"/>
        </w:rPr>
      </w:pPr>
    </w:p>
    <w:p>
      <w:pPr>
        <w:ind w:left="640" w:right="20" w:hanging="290"/>
        <w:spacing w:after="0" w:line="275" w:lineRule="auto"/>
        <w:tabs>
          <w:tab w:leader="none" w:pos="6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we loan funds to a joint venture, and the joint venture is unable to make required payments of interest or principal, or both, or there are disagreements with respect to the repayment of the loan or other matters, then we could have a resulting dispute with our partner(s), and such a dispute could harm our relationship(s) with our partner(s) and cause delays in developing or selling the property or the failure to properly manage the property; and</w:t>
      </w:r>
    </w:p>
    <w:p>
      <w:pPr>
        <w:spacing w:after="0" w:line="106" w:lineRule="exact"/>
        <w:rPr>
          <w:rFonts w:ascii="Arial" w:cs="Arial" w:eastAsia="Arial" w:hAnsi="Arial"/>
          <w:sz w:val="15"/>
          <w:szCs w:val="15"/>
          <w:color w:val="auto"/>
        </w:rPr>
      </w:pPr>
    </w:p>
    <w:p>
      <w:pPr>
        <w:ind w:left="640" w:right="100" w:hanging="290"/>
        <w:spacing w:after="0" w:line="248"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we loan funds to a joint venture and the joint venture is unable to make required payments of interest and principal, or both, then we may exercise remedies available to us in the joint venture agreement that could allow us to increase our ownership interest or our control over major decisions, or both, which could result in an unconsolidated joint venture becoming consolidated with our financial statement; doing so could require us to reallocate the purchase price among the various asset and liability components and this could result in material changes to our reported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property acquisitions.</w:t>
      </w:r>
    </w:p>
    <w:p>
      <w:pPr>
        <w:spacing w:after="0" w:line="95"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We have acquired in the past and intend to continue to pursue the acquisition of properties and portfolios of properties, including large portfolios that could increase our size and result in alterations to our capital structure. Our acquisition activities and their success are subject to the following risks:</w:t>
      </w:r>
    </w:p>
    <w:p>
      <w:pPr>
        <w:spacing w:after="0" w:line="122" w:lineRule="exact"/>
        <w:rPr>
          <w:sz w:val="20"/>
          <w:szCs w:val="20"/>
          <w:color w:val="auto"/>
        </w:rPr>
      </w:pPr>
    </w:p>
    <w:p>
      <w:pPr>
        <w:ind w:left="640" w:right="80" w:hanging="290"/>
        <w:spacing w:after="0" w:line="253"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even if we enter into an acquisition agreement for a property, we may be unable to complete that acquisition after making a non-refundable deposit and incurring certain other acquisition-related costs;</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obtain or assume financing for acquisitions on favorable terms or at all;</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acquired properties may fail to perform as expected;</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actual costs of repositioning, redeveloping or maintaining acquired properties may be greater than our estimates;</w:t>
      </w:r>
    </w:p>
    <w:p>
      <w:pPr>
        <w:spacing w:after="0" w:line="135" w:lineRule="exact"/>
        <w:rPr>
          <w:rFonts w:ascii="Arial" w:cs="Arial" w:eastAsia="Arial" w:hAnsi="Arial"/>
          <w:sz w:val="16"/>
          <w:szCs w:val="16"/>
          <w:color w:val="auto"/>
        </w:rPr>
      </w:pPr>
    </w:p>
    <w:p>
      <w:pPr>
        <w:ind w:left="640" w:right="580" w:hanging="290"/>
        <w:spacing w:after="0" w:line="253"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acquisition agreement will likely contain conditions to closing, including completion of due diligence investigations to our satisfaction or other conditions that are not within our control, which may not be satisfied;</w:t>
      </w:r>
    </w:p>
    <w:p>
      <w:pPr>
        <w:spacing w:after="0" w:line="109" w:lineRule="exact"/>
        <w:rPr>
          <w:rFonts w:ascii="Arial" w:cs="Arial" w:eastAsia="Arial" w:hAnsi="Arial"/>
          <w:sz w:val="16"/>
          <w:szCs w:val="16"/>
          <w:color w:val="auto"/>
        </w:rPr>
      </w:pPr>
    </w:p>
    <w:p>
      <w:pPr>
        <w:ind w:left="640" w:right="20" w:hanging="290"/>
        <w:spacing w:after="0" w:line="250"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acquired properties may be located in new markets, either within or outside the United States, where we may face risks associated with a lack of market knowledge or understanding of the local economy, lack of business relationships in the area, costs associated with opening a new regional office and unfamiliarity with local governmental and permitting procedures;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hanging="290"/>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acquire real estate through the acquisition of the ownership entity subjecting us to the risks of that entity; and</w:t>
      </w:r>
    </w:p>
    <w:p>
      <w:pPr>
        <w:spacing w:after="0" w:line="124" w:lineRule="exact"/>
        <w:rPr>
          <w:rFonts w:ascii="Arial" w:cs="Arial" w:eastAsia="Arial" w:hAnsi="Arial"/>
          <w:sz w:val="16"/>
          <w:szCs w:val="16"/>
          <w:color w:val="auto"/>
        </w:rPr>
      </w:pPr>
    </w:p>
    <w:p>
      <w:pPr>
        <w:ind w:left="640" w:right="240" w:hanging="290"/>
        <w:spacing w:after="0" w:line="253" w:lineRule="auto"/>
        <w:tabs>
          <w:tab w:leader="none" w:pos="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be unable to quickly and efficiently integrate new acquisitions, particularly acquisitions of portfolios of properties, into our existing operations, and this could have an adverse effect on our results of operations and financial condition.</w:t>
      </w:r>
    </w:p>
    <w:p>
      <w:pPr>
        <w:spacing w:after="0" w:line="134"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We have acquired in the past and in the future may acquire properties through the acquisition of first mortgage or mezzanine debt. Investments in these loans must be carefully structured to ensure that BXP continues to satisfy the various asset and income requirements applicable to REITs. If we fail to structure any such acquisition properly, BXP could fail to qualify as a REIT. In addition, acquisitions of first mortgage or mezzanine loans subject us to the risks associated with the borrower’s default, including potential bankruptcy, and there may be significant delays and costs associated with the process of foreclosure on collateral securing or supporting these investments. There can be no assurance that we would recover any or all of our investment in the event of such a default or bankruptcy.</w:t>
      </w:r>
    </w:p>
    <w:p>
      <w:pPr>
        <w:spacing w:after="0" w:line="139"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We have acquired in the past and in the future may acquire properties or portfolios of properties through tax deferred contribution transactions in exchange for partnership interests in BPLP. This acquisition structure has the effect, among others, of reducing the amount of tax depreciation we can deduct over the tax life of the acquired properties, and typically requires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properties may expose us to unknown liability.</w:t>
      </w:r>
    </w:p>
    <w:p>
      <w:pPr>
        <w:spacing w:after="0" w:line="107" w:lineRule="exact"/>
        <w:rPr>
          <w:sz w:val="20"/>
          <w:szCs w:val="20"/>
          <w:color w:val="auto"/>
        </w:rPr>
      </w:pPr>
    </w:p>
    <w:p>
      <w:pPr>
        <w:ind w:right="40" w:firstLine="391"/>
        <w:spacing w:after="0" w:line="249" w:lineRule="auto"/>
        <w:rPr>
          <w:sz w:val="20"/>
          <w:szCs w:val="20"/>
          <w:color w:val="auto"/>
        </w:rPr>
      </w:pPr>
      <w:r>
        <w:rPr>
          <w:rFonts w:ascii="Arial" w:cs="Arial" w:eastAsia="Arial" w:hAnsi="Arial"/>
          <w:sz w:val="16"/>
          <w:szCs w:val="16"/>
          <w:color w:val="auto"/>
        </w:rPr>
        <w:t>We may acquire properties or invest in joint ventures that own properties subject to liabilities and without any recourse, or with only limited recourse, against the prior owners or other third parties with respect to unknown liabilities. As a result, if a liability were asserted against us based upon ownership of those properties, we might have to pay substantial sums to settle or contest it, which could adversely affect our results of operations and cash flow. Unknown liabilities with respect to acquired properties might include:</w:t>
      </w:r>
    </w:p>
    <w:p>
      <w:pPr>
        <w:spacing w:after="0" w:line="113" w:lineRule="exact"/>
        <w:rPr>
          <w:sz w:val="20"/>
          <w:szCs w:val="20"/>
          <w:color w:val="auto"/>
        </w:rPr>
      </w:pPr>
    </w:p>
    <w:p>
      <w:pPr>
        <w:ind w:left="640" w:hanging="290"/>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liabilities for clean-up of undisclosed environmental contamination;</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claims by clients, vendors or other persons against the former owners of the properties;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and</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claims for indemnification by general partners, directors, officers and others indemnified by the former owners of the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 for acquisitions may result in increased prices for properties.</w:t>
      </w:r>
    </w:p>
    <w:p>
      <w:pPr>
        <w:spacing w:after="0" w:line="107"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We plan to continue to acquire properties as we are presented with attractive opportunities. We may face competition for acquisition opportunities with other investors, and this competition may adversely affect us by subjecting us to the following risks:</w:t>
      </w:r>
    </w:p>
    <w:p>
      <w:pPr>
        <w:spacing w:after="0" w:line="110" w:lineRule="exact"/>
        <w:rPr>
          <w:sz w:val="20"/>
          <w:szCs w:val="20"/>
          <w:color w:val="auto"/>
        </w:rPr>
      </w:pPr>
    </w:p>
    <w:p>
      <w:pPr>
        <w:ind w:left="640" w:right="180" w:hanging="290"/>
        <w:spacing w:after="0" w:line="253"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unable to acquire a desired property because of competition from other well-capitalized real estate investors, including publicly traded and private REITs, institutional investment funds and other real estate investors; and</w:t>
      </w:r>
    </w:p>
    <w:p>
      <w:pPr>
        <w:spacing w:after="0" w:line="121" w:lineRule="exact"/>
        <w:rPr>
          <w:rFonts w:ascii="Arial" w:cs="Arial" w:eastAsia="Arial" w:hAnsi="Arial"/>
          <w:sz w:val="16"/>
          <w:szCs w:val="16"/>
          <w:color w:val="auto"/>
        </w:rPr>
      </w:pPr>
    </w:p>
    <w:p>
      <w:pPr>
        <w:ind w:left="640" w:hanging="290"/>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even if we are able to acquire a desired property, competition from other real estate investors may significantly increase the purchase price.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selling our properties, which may limit our flexibility.</w:t>
      </w:r>
    </w:p>
    <w:p>
      <w:pPr>
        <w:spacing w:after="0" w:line="95"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Properties like the ones that we own could be difficult to sell. This may limit our ability to change our portfolio promptly in response to changes in economic or other conditions. In addition, federal tax laws limit our ability to sell properties and this may affect our ability to sell properties without adversely affecting returns to our securityholders. These restrictions reduce our ability to respond to changes in the performance of our investments and could adversely affect our financial condition and results of operations.</w:t>
      </w:r>
    </w:p>
    <w:p>
      <w:pPr>
        <w:spacing w:after="0" w:line="137" w:lineRule="exact"/>
        <w:rPr>
          <w:sz w:val="20"/>
          <w:szCs w:val="20"/>
          <w:color w:val="auto"/>
        </w:rPr>
      </w:pPr>
    </w:p>
    <w:p>
      <w:pPr>
        <w:ind w:right="120" w:firstLine="391"/>
        <w:spacing w:after="0" w:line="253" w:lineRule="auto"/>
        <w:rPr>
          <w:sz w:val="20"/>
          <w:szCs w:val="20"/>
          <w:color w:val="auto"/>
        </w:rPr>
      </w:pPr>
      <w:r>
        <w:rPr>
          <w:rFonts w:ascii="Arial" w:cs="Arial" w:eastAsia="Arial" w:hAnsi="Arial"/>
          <w:sz w:val="16"/>
          <w:szCs w:val="16"/>
          <w:color w:val="auto"/>
        </w:rPr>
        <w:t>Our ability to dispose of some of our properties is constrained by their tax attributes. Properties that we developed and have owned for a significant period of time or that we acquired through tax deferred contribution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transactions in exchange for partnership interests in BPLP often have low tax bases. Furthermore, as a REIT, BXP may be subject to a 100% “prohibited transactions” tax on the gain from dispositions of property if BXP is deemed to hold the property primarily for sale to customers in the ordinary course of business, unless the disposition qualifies under a safe harbor exception for properties that have been held for at least two years and with respect to which certain other requirements are met. The potential application of the prohibited transactions tax could cause us to forego potential dispositions of property or other opportunities that might otherwise be attractive to us, or to undertake such dispositions or other opportunities through a taxable REIT subsidiary, which would generally result in income taxes being incurred. If we dispose of these properties outright in taxable transactions, we may be required to distribute a significant amount of the taxable gain to our securityholders under the requirements of the Code applicable to REITs, which in turn would impact our future cash flow and may increase our leverage. In some cases, without incurring additional costs we may be restricted from disposing of properties contributed in exchange for our partnership interests under tax protection agreements with contributors. To dispose of low basis or tax-protected properties efficiently we from time to time use like-kind exchanges, which are intended to qualify for non-recognition of taxable gain, but can be difficult to consummate and result in the property for which the disposed assets are exchanged inheriting their low tax bases and other tax attributes (including tax protection covenants).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own a hotel property, we face the risks associated with the hospitality industry.</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factors, among others, are common to the hotel industry, and may reduce the receipts generated by our hotel property:</w:t>
      </w:r>
    </w:p>
    <w:p>
      <w:pPr>
        <w:spacing w:after="0" w:line="136" w:lineRule="exact"/>
        <w:rPr>
          <w:sz w:val="20"/>
          <w:szCs w:val="20"/>
          <w:color w:val="auto"/>
        </w:rPr>
      </w:pPr>
    </w:p>
    <w:p>
      <w:pPr>
        <w:ind w:left="640" w:right="600" w:hanging="290"/>
        <w:spacing w:after="0" w:line="253" w:lineRule="auto"/>
        <w:tabs>
          <w:tab w:leader="none" w:pos="6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hotel property competes for guests with other hotels, a number of which may have greater marketing and financial resources than our hotel-operating business partners;</w:t>
      </w:r>
    </w:p>
    <w:p>
      <w:pPr>
        <w:spacing w:after="0" w:line="121" w:lineRule="exact"/>
        <w:rPr>
          <w:rFonts w:ascii="Arial" w:cs="Arial" w:eastAsia="Arial" w:hAnsi="Arial"/>
          <w:sz w:val="16"/>
          <w:szCs w:val="16"/>
          <w:color w:val="auto"/>
        </w:rPr>
      </w:pPr>
    </w:p>
    <w:p>
      <w:pPr>
        <w:ind w:left="640" w:right="160" w:hanging="290"/>
        <w:spacing w:after="0" w:line="253" w:lineRule="auto"/>
        <w:tabs>
          <w:tab w:leader="none" w:pos="6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there is an increase in operating costs resulting from inflation and other factors, our hotel-operating business partners may not be able to offset such increase by increasing room rates;</w:t>
      </w:r>
    </w:p>
    <w:p>
      <w:pPr>
        <w:spacing w:after="0" w:line="109" w:lineRule="exact"/>
        <w:rPr>
          <w:rFonts w:ascii="Arial" w:cs="Arial" w:eastAsia="Arial" w:hAnsi="Arial"/>
          <w:sz w:val="16"/>
          <w:szCs w:val="16"/>
          <w:color w:val="auto"/>
        </w:rPr>
      </w:pPr>
    </w:p>
    <w:p>
      <w:pPr>
        <w:ind w:left="640" w:hanging="290"/>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hotel property is subject to the fluctuating and seasonal demands of business travelers and tourism; and</w:t>
      </w:r>
    </w:p>
    <w:p>
      <w:pPr>
        <w:spacing w:after="0" w:line="135" w:lineRule="exact"/>
        <w:rPr>
          <w:rFonts w:ascii="Arial" w:cs="Arial" w:eastAsia="Arial" w:hAnsi="Arial"/>
          <w:sz w:val="16"/>
          <w:szCs w:val="16"/>
          <w:color w:val="auto"/>
        </w:rPr>
      </w:pPr>
    </w:p>
    <w:p>
      <w:pPr>
        <w:ind w:left="640" w:right="620" w:hanging="290"/>
        <w:spacing w:after="0" w:line="253" w:lineRule="auto"/>
        <w:tabs>
          <w:tab w:leader="none" w:pos="6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hotel property is subject to general and local economic and social conditions that may affect demand for travel in general, including war and terrorism.</w:t>
      </w:r>
    </w:p>
    <w:p>
      <w:pPr>
        <w:spacing w:after="0" w:line="134"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In addition, because our hotel property is located in Cambridge, Massachusetts, it is subject to the Cambridge market’s fluctuations in demand, increases in operating costs and increased competition from additions in supply.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Federal Government contractor requirements could result in substantial costs and loss of substantial revenue.</w:t>
      </w:r>
    </w:p>
    <w:p>
      <w:pPr>
        <w:spacing w:after="0" w:line="95"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As of December 31, 2022, the U.S. Government was one of our largest clients by square feet. We are subject to compliance with a wide variety of complex legal requirements because we are a Federal Government contractor. These laws regulate how we conduct business, require us to administer various compliance programs and require us to impose compliance responsibilities on some of our contractors. Our failure to comply with these laws could subject us to fines, penalties and damages, cause us to be in default of our leases and other contracts with the Federal Government and bar us from entering into future leases and other contracts with the Federal Government. There can be no assurance that these costs and loss of revenue will not have a material adverse effect on our properties, operations or business.</w:t>
      </w:r>
    </w:p>
    <w:p>
      <w:pPr>
        <w:spacing w:after="0" w:line="204"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b w:val="1"/>
          <w:bCs w:val="1"/>
          <w:i w:val="1"/>
          <w:iCs w:val="1"/>
          <w:color w:val="auto"/>
        </w:rPr>
        <w:t>Changes in rent control or rent stabilization and eviction laws and regulations in our markets could have a material adverse effect on our residential portfolio’s results of operations and residential property values.</w:t>
      </w:r>
    </w:p>
    <w:p>
      <w:pPr>
        <w:spacing w:after="0" w:line="5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Various state and local governments have enacted, and may continue to enact, rent control or rent stabilization laws and regulations or take other actions that could limit our ability to raise rents or charge certain fees, such as pet fees or application fees. We have seen a recent increase in governments considering, or being urged by advocacy groups to consider, rent control or rent stabilization laws and regulations. Depending on the extent and terms of future enactments of rent control or rent stabilization laws and regulations, as well as any lawsuits against us arising from such issues, such future enactments could have a material adverse effect on our residential portfolio’s results of operations and the value of our residential properties.</w:t>
      </w:r>
    </w:p>
    <w:p>
      <w:pPr>
        <w:spacing w:after="0" w:line="140" w:lineRule="exact"/>
        <w:rPr>
          <w:sz w:val="20"/>
          <w:szCs w:val="20"/>
          <w:color w:val="auto"/>
        </w:rPr>
      </w:pPr>
    </w:p>
    <w:p>
      <w:pPr>
        <w:jc w:val="both"/>
        <w:ind w:right="20" w:firstLine="391"/>
        <w:spacing w:after="0" w:line="250" w:lineRule="auto"/>
        <w:rPr>
          <w:sz w:val="20"/>
          <w:szCs w:val="20"/>
          <w:color w:val="auto"/>
        </w:rPr>
      </w:pPr>
      <w:r>
        <w:rPr>
          <w:rFonts w:ascii="Arial" w:cs="Arial" w:eastAsia="Arial" w:hAnsi="Arial"/>
          <w:sz w:val="16"/>
          <w:szCs w:val="16"/>
          <w:color w:val="auto"/>
        </w:rPr>
        <w:t>State and local governments may also make changes to eviction and other tenants’ rights laws and regulations that could have a material adverse effect on our residential portfolio’s results of operations and the value of our residential properties. If we are restricted from re-leasing apartment units due to the inability to evict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delinquent residents, our results of operations and property values for our residential properties may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did not obtain new owner’s title insurance policies in connection with properties acquired during BXP’s initial public offering.</w:t>
      </w:r>
    </w:p>
    <w:p>
      <w:pPr>
        <w:spacing w:after="0" w:line="9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We acquired many of our properties from our predecessors at the completion of BXP’s initial public offering in June 1997. Before we acquired these properties, each of them was insured by a title insurance policy. We did not obtain new owner’s title insurance policies in connection with the acquisition of these properties. To the extent we have financed properties after acquiring them in connection with the initial public offering, we have obtained new title insurance policies, however, the amount of these policies may be less than the current or future value of the applicable properties. Nevertheless, because in many instances we acquired these properties indirectly by acquiring ownership of the entity that owned the property and those owners remain in existence as our subsidiaries, some of these title insurance policies may continue to benefit us. Many of these title insurance policies may be for amounts less than the current or future values of the applicable properties. If there was a title defect related to any of these properties, or to any of the properties acquired at the time of the initial public offering of BXP, that is no longer covered by a title insurance policy, we could lose both our capital invested in and our anticipated profits from such property. We have obtained title insurance policies for all properties that we have acquired after the initial public offering of BXP, however, these policies may be for amounts less than the current or future values of the applicable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potential losses are not covered by insurance.</w:t>
      </w:r>
    </w:p>
    <w:p>
      <w:pPr>
        <w:spacing w:after="0" w:line="107"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Our property insurance program per occurrence limits are $1.0 billion for our portfolio insurance program, including coverage for acts of terrorism other than nuclear, biological, chemical or radiological terrorism (“Terrorism Coverage”). We also carry $1.35 billion of property insurance in excess of the $1.0 billion of coverage in our property insurance program for 601 Lexington Avenue, New York, New York, consisting of $750 million of property and Terrorism Coverage in excess of our property insurance program and $600 million of Terrorism Coverage only in excess of the $1.75 billion of coverage.</w:t>
      </w:r>
    </w:p>
    <w:p>
      <w:pPr>
        <w:spacing w:after="0" w:line="137" w:lineRule="exact"/>
        <w:rPr>
          <w:sz w:val="20"/>
          <w:szCs w:val="20"/>
          <w:color w:val="auto"/>
        </w:rPr>
      </w:pPr>
    </w:p>
    <w:p>
      <w:pPr>
        <w:ind w:firstLine="391"/>
        <w:spacing w:after="0" w:line="247" w:lineRule="auto"/>
        <w:rPr>
          <w:sz w:val="20"/>
          <w:szCs w:val="20"/>
          <w:color w:val="auto"/>
        </w:rPr>
      </w:pPr>
      <w:r>
        <w:rPr>
          <w:rFonts w:ascii="Arial" w:cs="Arial" w:eastAsia="Arial" w:hAnsi="Arial"/>
          <w:sz w:val="16"/>
          <w:szCs w:val="16"/>
          <w:color w:val="auto"/>
        </w:rPr>
        <w:t>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We also currently carry nuclear, biological, chemical and radiological terrorism insurance coverage for acts of terrorism certified under the Federal Terrorism Risk Insurance Act (as amended, “TRIA”) (“NBCR Coverage”), which is provided by IXP as a direct insurer, for the properties in our portfolio, including 767 Fifth Avenue, but excluding certain other properties owned in joint ventures with third parties or which we manage.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We may elect to terminate the NBCR Coverage if the Federal Government seeks recoupment for losses paid under TRIA, if TRIA is not extended after its expiration on December 31, 2027, if there is a change in our portfolio or for any other reason. We intend to continue to monitor the scope, nature and cost of available terrorism insurance.</w:t>
      </w:r>
    </w:p>
    <w:p>
      <w:pPr>
        <w:spacing w:after="0" w:line="145"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We also currently carry earthquake insurance on our properties located in areas known to be subject to earthquakes. Specifically, we currently carry earthquake insurance which covers our San Francisco and Los Angeles regions with a $330 million per occurrence limit, and a $330 million annual aggregate limit, $30 million of which is provided by IXP, as a direct insurer. This insurance is subject to a deductible in the amount of 3% of the value of the affected property. In addition, we currently carry earthquake insurance which covers our Seattle region with a $110 million per occurrence limit, and a $110 million annual aggregate limit. This insurance is subject to a deductible in the amount of 2% of the value of the affected property. The amount of our earthquake insurance coverage may not be sufficient to cover losses from earthquakes. In addition, the amount of earthquake coverage could impact our ability to finance properties subject to earthquake risk. We may discontinue earthquake insurance or change the structure of our earthquake insurance program on some or all of our properties in the future if the premiums exceed our estimation of the value of the coverage.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391"/>
        <w:spacing w:after="0" w:line="248" w:lineRule="auto"/>
        <w:rPr>
          <w:sz w:val="20"/>
          <w:szCs w:val="20"/>
          <w:color w:val="auto"/>
        </w:rPr>
      </w:pPr>
      <w:r>
        <w:rPr>
          <w:rFonts w:ascii="Arial" w:cs="Arial" w:eastAsia="Arial" w:hAnsi="Arial"/>
          <w:sz w:val="16"/>
          <w:szCs w:val="16"/>
          <w:color w:val="auto"/>
        </w:rPr>
        <w:t>IXP, a captive insurance company which is a wholly-owned subsidiary, acts as a direct insurer with respect to a portion of our earthquake insurance coverage for our Greater San Francisco and Los Angeles properties and our NBCR Coverage. Insofar as we own IXP, we are responsible for its liquidity and capital resources, and the accounts of IXP are part of our consolidated financial statements. In particular, if a loss occurs which is covered by our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we experience a loss and IXP is required to pay under its insurance policy, we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continue to monitor the state of the insurance market in general, and the scope and costs of coverage for acts of terrorism, earthquakes and pandemics, in particular, but we cannot anticipate what coverage will be available on commercially reasonable terms in future policy years. There are other types of losses, such as from wars, for which we cannot obtain insurance at all or at a reasonable cost. With respect to such losses and losses from acts of terrorism, earthquakes, pandemics or other catastrophic events, if we experience a loss that is uninsured or that exceeds policy limits, we could lose the capital invested in the damaged properties, as well as the anticipated future revenues from those properties. Depending on the specific circumstances of each affected property, it is possible that we could be liable for mortgage indebtedness or other obligations related to the property. Any such loss could materially and adversely affect our business and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Actual or threatened terrorist attacks may adversely affect our ability to generate revenues and the value of our properties.</w:t>
      </w:r>
    </w:p>
    <w:p>
      <w:pPr>
        <w:spacing w:after="0" w:line="95" w:lineRule="exact"/>
        <w:rPr>
          <w:sz w:val="20"/>
          <w:szCs w:val="20"/>
          <w:color w:val="auto"/>
        </w:rPr>
      </w:pPr>
    </w:p>
    <w:p>
      <w:pPr>
        <w:ind w:right="40" w:firstLine="391"/>
        <w:spacing w:after="0" w:line="267" w:lineRule="auto"/>
        <w:rPr>
          <w:sz w:val="20"/>
          <w:szCs w:val="20"/>
          <w:color w:val="auto"/>
        </w:rPr>
      </w:pPr>
      <w:r>
        <w:rPr>
          <w:rFonts w:ascii="Arial" w:cs="Arial" w:eastAsia="Arial" w:hAnsi="Arial"/>
          <w:sz w:val="15"/>
          <w:szCs w:val="15"/>
          <w:color w:val="auto"/>
        </w:rPr>
        <w:t>We have significant investments in large metropolitan markets that have been or may be in the future the targets of actual or threatened terrorism attacks, including Boston, Los Angeles, New York, San Francisco, Seattle and Washington, DC. As a result, some clients in these markets may choose to relocate their businesses to other markets or to lower-profile office buildings within these markets that may be perceived to be less likely targets of future terrorist activity. This could result in an overall decrease in the demand for office space in these markets generally or in our properties in particular, which could increase vacancies in our properties or necessitate that we lease our properties on less favorable terms or both. In addition, future terrorist attacks in these markets could directly or indirectly damage our properties, both physically and financially, or cause losses that materially exceed our insurance coverage. As a result of the foregoing, our ability to generate revenues and the value of our properties could decline materially. See also “</w:t>
      </w:r>
      <w:r>
        <w:rPr>
          <w:rFonts w:ascii="Arial" w:cs="Arial" w:eastAsia="Arial" w:hAnsi="Arial"/>
          <w:sz w:val="15"/>
          <w:szCs w:val="15"/>
          <w:i w:val="1"/>
          <w:iCs w:val="1"/>
          <w:color w:val="auto"/>
        </w:rPr>
        <w:t>—Some potential losses are not covered by insurance.</w:t>
      </w:r>
      <w:r>
        <w:rPr>
          <w:rFonts w:ascii="Arial" w:cs="Arial" w:eastAsia="Arial" w:hAnsi="Arial"/>
          <w:sz w:val="15"/>
          <w:szCs w:val="15"/>
          <w:color w:val="auto"/>
        </w:rPr>
        <w:t>”</w:t>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b w:val="1"/>
          <w:bCs w:val="1"/>
          <w:i w:val="1"/>
          <w:iCs w:val="1"/>
          <w:color w:val="auto"/>
        </w:rPr>
        <w:t>We face risks associated with our clients and contractual counterparties being designated “Prohibited Persons” by the Office of Foreign Assets Control.</w:t>
      </w:r>
    </w:p>
    <w:p>
      <w:pPr>
        <w:spacing w:after="0" w:line="5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Pursuant to Executive Order 13224 and other laws, the Office of Foreign Assets Control of the United States Department of the Treasury (“OFAC”) maintains a list of persons designated as terrorists or who are otherwise blocked or banned (“Prohibited Persons”). OFAC regulations and other laws prohibit conducting business or engaging in transactions with Prohibited Persons (the “OFAC Requirements”). Certain of our loan and other agreements require us to comply with OFAC Requirements. We have established a compliance program whereby clients and others with whom we conduct business are checked against the OFAC list of Prohibited Persons prior to entering into any agreement and on a periodic basis thereafter. Our leases and other agreements, in general, require the other party to comply with OFAC Requirements. If a client or other party with whom we contract is placed on the OFAC list we may be required by the OFAC Requirements to terminate the lease or other agreement. Any such termination could result in a loss of revenue or a damage claim by the other party that the termination was wrongful.</w:t>
      </w:r>
    </w:p>
    <w:p>
      <w:pPr>
        <w:spacing w:after="0" w:line="18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i w:val="1"/>
          <w:iCs w:val="1"/>
          <w:color w:val="auto"/>
        </w:rPr>
        <w:t xml:space="preserve">We face risks associated with climate change </w:t>
      </w:r>
      <w:r>
        <w:rPr>
          <w:rFonts w:ascii="Arial" w:cs="Arial" w:eastAsia="Arial" w:hAnsi="Arial"/>
          <w:sz w:val="17"/>
          <w:szCs w:val="17"/>
          <w:b w:val="1"/>
          <w:bCs w:val="1"/>
          <w:i w:val="1"/>
          <w:iCs w:val="1"/>
          <w:color w:val="auto"/>
        </w:rPr>
        <w:t>and severe weather events, as well as the regulatory efforts intended to reduce the effects of</w:t>
      </w:r>
      <w:r>
        <w:rPr>
          <w:rFonts w:ascii="Arial" w:cs="Arial" w:eastAsia="Arial" w:hAnsi="Arial"/>
          <w:sz w:val="16"/>
          <w:szCs w:val="16"/>
          <w:b w:val="1"/>
          <w:bCs w:val="1"/>
          <w:i w:val="1"/>
          <w:iCs w:val="1"/>
          <w:color w:val="auto"/>
        </w:rPr>
        <w:t xml:space="preserve"> </w:t>
      </w:r>
      <w:r>
        <w:rPr>
          <w:rFonts w:ascii="Arial" w:cs="Arial" w:eastAsia="Arial" w:hAnsi="Arial"/>
          <w:sz w:val="17"/>
          <w:szCs w:val="17"/>
          <w:b w:val="1"/>
          <w:bCs w:val="1"/>
          <w:i w:val="1"/>
          <w:iCs w:val="1"/>
          <w:color w:val="auto"/>
        </w:rPr>
        <w:t>climate change</w:t>
      </w:r>
      <w:r>
        <w:rPr>
          <w:rFonts w:ascii="Arial" w:cs="Arial" w:eastAsia="Arial" w:hAnsi="Arial"/>
          <w:sz w:val="15"/>
          <w:szCs w:val="15"/>
          <w:b w:val="1"/>
          <w:bCs w:val="1"/>
          <w:i w:val="1"/>
          <w:iCs w:val="1"/>
          <w:color w:val="auto"/>
        </w:rPr>
        <w:t>.</w:t>
      </w:r>
    </w:p>
    <w:p>
      <w:pPr>
        <w:spacing w:after="0" w:line="27" w:lineRule="exact"/>
        <w:rPr>
          <w:sz w:val="20"/>
          <w:szCs w:val="20"/>
          <w:color w:val="auto"/>
        </w:rPr>
      </w:pPr>
    </w:p>
    <w:p>
      <w:pPr>
        <w:ind w:right="380" w:firstLine="391"/>
        <w:spacing w:after="0" w:line="249" w:lineRule="auto"/>
        <w:rPr>
          <w:sz w:val="20"/>
          <w:szCs w:val="20"/>
          <w:color w:val="auto"/>
        </w:rPr>
      </w:pPr>
      <w:r>
        <w:rPr>
          <w:rFonts w:ascii="Arial" w:cs="Arial" w:eastAsia="Arial" w:hAnsi="Arial"/>
          <w:sz w:val="16"/>
          <w:szCs w:val="16"/>
          <w:color w:val="auto"/>
        </w:rPr>
        <w:t>The physical effects of climate change could have a material adverse effect on our properties, operations and business. For example, many of our properties are located along the East and West coasts, particularly those in the central business districts of Boston, Los Angeles, New York, San Francisco, Seattle and Washington, DC. To the extent climate change causes changes in weather patterns, our markets could experience increases in storm intensity, extreme temperatures, rising sea-levels and/or drought. Over time, these conditions could result in</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declining demand for office space in our buildings or increased costs associated with infrastructure-related remediation projects. Climate change may also have indirect effects on our business by making property insurance unavailable or by increasing the cost of (i) property insurance on terms we find acceptable, (ii) real estate taxes or other assessments, (iii) energy and (iv) property maintenance. In addition, we face transition risks related to federal, state and local legislation and regulations that are being implemented or are under consideration to mitigate the effects of climate change. The costs of complying with evolving regulatory requirements, including GHG emissions regulations and policies, could negatively impact our financial results.</w:t>
      </w:r>
    </w:p>
    <w:p>
      <w:pPr>
        <w:spacing w:after="0" w:line="140" w:lineRule="exact"/>
        <w:rPr>
          <w:sz w:val="20"/>
          <w:szCs w:val="20"/>
          <w:color w:val="auto"/>
        </w:rPr>
      </w:pPr>
    </w:p>
    <w:p>
      <w:pPr>
        <w:ind w:right="20" w:firstLine="356"/>
        <w:spacing w:after="0" w:line="250" w:lineRule="auto"/>
        <w:rPr>
          <w:sz w:val="20"/>
          <w:szCs w:val="20"/>
          <w:color w:val="auto"/>
        </w:rPr>
      </w:pPr>
      <w:r>
        <w:rPr>
          <w:rFonts w:ascii="Arial" w:cs="Arial" w:eastAsia="Arial" w:hAnsi="Arial"/>
          <w:sz w:val="16"/>
          <w:szCs w:val="16"/>
          <w:color w:val="auto"/>
        </w:rPr>
        <w:t>For additional discussion regarding our approach to climate resiliency and our continued commitment to transparent reporting of ESG performance indicators, see “</w:t>
      </w:r>
      <w:r>
        <w:rPr>
          <w:rFonts w:ascii="Arial" w:cs="Arial" w:eastAsia="Arial" w:hAnsi="Arial"/>
          <w:sz w:val="16"/>
          <w:szCs w:val="16"/>
          <w:i w:val="1"/>
          <w:iCs w:val="1"/>
          <w:color w:val="auto"/>
        </w:rPr>
        <w:t>Item 1. Business—Business and Growth Strategies—Environmental, Social and Governance (ESG)</w:t>
      </w:r>
      <w:r>
        <w:rPr>
          <w:rFonts w:ascii="Arial" w:cs="Arial" w:eastAsia="Arial" w:hAnsi="Arial"/>
          <w:sz w:val="16"/>
          <w:szCs w:val="16"/>
          <w:color w:val="auto"/>
        </w:rPr>
        <w:t>” and our annual ESG report available on our website at http://www.bxp.com under the heading “Commitment.”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liability for environmental contamination could result in substantial costs.</w:t>
      </w:r>
    </w:p>
    <w:p>
      <w:pPr>
        <w:spacing w:after="0" w:line="10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Under federal, state and local environmental laws, ordinances and regulations, we may be required to investigate and clean up the effects of releases of hazardous or toxic substances or petroleum products at or migrating from our properties simply because of our current or past ownership or operation of the real estate. If unidentified environmental problems arise, we may have to make substantial payments, which could adversely affect our cash flow and our ability to make distributions to our securityholders, because: as owner or operator we may have to pay for property damage and for investigation and clean-up costs incurred in connection with the contamination; the law typically imposes clean-up responsibility and liability regardless of whether the owner or operator knew of or caused the contamination; even if more than one person may be responsible for the contamination, each person who shares legal liability under the environmental laws may be held responsible for all of the clean-up costs; and governmental entities and third parties may sue the owner or operator of a contaminated site for damages and costs.</w:t>
      </w:r>
    </w:p>
    <w:p>
      <w:pPr>
        <w:spacing w:after="0" w:line="138" w:lineRule="exact"/>
        <w:rPr>
          <w:sz w:val="20"/>
          <w:szCs w:val="20"/>
          <w:color w:val="auto"/>
        </w:rPr>
      </w:pPr>
    </w:p>
    <w:p>
      <w:pPr>
        <w:ind w:right="40" w:firstLine="391"/>
        <w:spacing w:after="0" w:line="267" w:lineRule="auto"/>
        <w:rPr>
          <w:sz w:val="20"/>
          <w:szCs w:val="20"/>
          <w:color w:val="auto"/>
        </w:rPr>
      </w:pPr>
      <w:r>
        <w:rPr>
          <w:rFonts w:ascii="Arial" w:cs="Arial" w:eastAsia="Arial" w:hAnsi="Arial"/>
          <w:sz w:val="15"/>
          <w:szCs w:val="15"/>
          <w:color w:val="auto"/>
        </w:rPr>
        <w:t>These costs could be substantial and in extreme cases could exceed the amount of our insurance or the value of the contaminated property. We currently carry environmental insurance in an amount and subject to deductibles that we believe are commercially reasonable. Specifically, we carry a pollution legal liability policy with a $20 million limit per incident and a policy aggregate limit of $40 million. The presence or migration of hazardous or toxic substances or petroleum products or the failure to properly remediate contamination may give rise to third-party claims for bodily injury, property damage and/or response costs and may materially and adversely affect our ability to borrow against, sell or rent an affected property. In addition, applicable environmental laws create liens on contaminated sites in favor of the government for damages and costs it incurs in connection with contamination. Changes in laws, regulations and practices and their implementation increasing the potential liability for environmental conditions existing at our properties, or increasing the restrictions on the handling, storage or discharge of hazardous or toxic substances or petroleum products or other actions may result in significant unanticipated expenditures.</w:t>
      </w:r>
    </w:p>
    <w:p>
      <w:pPr>
        <w:spacing w:after="0" w:line="124" w:lineRule="exact"/>
        <w:rPr>
          <w:sz w:val="20"/>
          <w:szCs w:val="20"/>
          <w:color w:val="auto"/>
        </w:rPr>
      </w:pPr>
    </w:p>
    <w:p>
      <w:pPr>
        <w:ind w:right="160" w:firstLine="391"/>
        <w:spacing w:after="0" w:line="253" w:lineRule="auto"/>
        <w:rPr>
          <w:sz w:val="20"/>
          <w:szCs w:val="20"/>
          <w:color w:val="auto"/>
        </w:rPr>
      </w:pPr>
      <w:r>
        <w:rPr>
          <w:rFonts w:ascii="Arial" w:cs="Arial" w:eastAsia="Arial" w:hAnsi="Arial"/>
          <w:sz w:val="16"/>
          <w:szCs w:val="16"/>
          <w:color w:val="auto"/>
        </w:rPr>
        <w:t>Environmental laws also govern the presence, maintenance and removal of asbestos and other building materials. For example, laws require that owners or operators of buildings containing asbestos:</w:t>
      </w:r>
    </w:p>
    <w:p>
      <w:pPr>
        <w:spacing w:after="0" w:line="86" w:lineRule="exact"/>
        <w:rPr>
          <w:sz w:val="20"/>
          <w:szCs w:val="20"/>
          <w:color w:val="auto"/>
        </w:rPr>
      </w:pPr>
    </w:p>
    <w:p>
      <w:pPr>
        <w:ind w:left="640" w:hanging="290"/>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properly manage and maintain the asbestos;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notify and train those who may come into contact with asbestos; and</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undertake special precautions, including removal or other abatement, if asbestos would be disturbed during renovation or demolition of a building.</w:t>
      </w:r>
    </w:p>
    <w:p>
      <w:pPr>
        <w:spacing w:after="0" w:line="148" w:lineRule="exact"/>
        <w:rPr>
          <w:sz w:val="20"/>
          <w:szCs w:val="20"/>
          <w:color w:val="auto"/>
        </w:rPr>
      </w:pPr>
    </w:p>
    <w:p>
      <w:pPr>
        <w:ind w:right="120" w:firstLine="391"/>
        <w:spacing w:after="0" w:line="253" w:lineRule="auto"/>
        <w:rPr>
          <w:sz w:val="20"/>
          <w:szCs w:val="20"/>
          <w:color w:val="auto"/>
        </w:rPr>
      </w:pPr>
      <w:r>
        <w:rPr>
          <w:rFonts w:ascii="Arial" w:cs="Arial" w:eastAsia="Arial" w:hAnsi="Arial"/>
          <w:sz w:val="16"/>
          <w:szCs w:val="16"/>
          <w:color w:val="auto"/>
        </w:rPr>
        <w:t>Such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13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Some of our properties are located in urban and previously developed areas where fill or current or historic industrial uses of the areas have caused site contamination. It is our policy to retain independent environmental consultants to conduct or update Phase I environmental site assessments and asbestos surveys with respect to our acquisition of properties. These assessments generally include a visual inspection of the properties and the surrounding areas, an examination of current and historical uses of the properties and the surrounding areas and a review of relevant state, federal and historical documents, but do not involve invasive techniques such as soil and ground water sampling. Where appropriate, on a property-by-property basis, our practice is to have these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consultants conduct additional testing, including sampling for asbestos, for lead and other contaminants in drinking water and, for soil and/or groundwater contamination where underground storage tanks are or were located or where other past site usage creates a potential environmental problem. Even though these environmental assessments are conducted, there is still the risk that:</w:t>
      </w:r>
    </w:p>
    <w:p>
      <w:pPr>
        <w:spacing w:after="0" w:line="124" w:lineRule="exact"/>
        <w:rPr>
          <w:sz w:val="20"/>
          <w:szCs w:val="20"/>
          <w:color w:val="auto"/>
        </w:rPr>
      </w:pPr>
    </w:p>
    <w:p>
      <w:pPr>
        <w:ind w:left="640" w:hanging="290"/>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environmental assessments and updates did not identify or properly address all potential environmental liabilities;</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prior owner created a material environmental condition that is not known to us or the independent consultants preparing the assessments;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new environmental liabilities have developed since the environmental assessments were conducted; and</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future uses or conditions such as changes in applicable environmental laws and regulations could result in environmental liability for us.</w:t>
      </w:r>
    </w:p>
    <w:p>
      <w:pPr>
        <w:spacing w:after="0" w:line="148"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Inquiries about indoor air quality may necessitate special investigation and, depending on the results, remediation beyond our regular indoor air quality testing and maintenance programs. Indoor air quality issues can stem from inadequate ventilation, chemical contaminants from indoor or outdoor sources, and biological contaminants such as molds, pollen, viruses and bacteria. Indoor exposure to chemical or biological contaminants can be alleged to be connected to allergic reactions or other adverse health effects. If these conditions were to occur at one of our properties, we may be subject to third-party claims for personal injury, or may need to undertake a targeted remediation program, including without limitation, special cleaning measures and steps to increase indoor ventilation rates and eliminate sources of contaminants. Such remediation programs could be costly, necessitate the temporary relocation of some or all of the property’s clients or require rehabilitation of the affected property.</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b w:val="1"/>
          <w:bCs w:val="1"/>
          <w:i w:val="1"/>
          <w:iCs w:val="1"/>
          <w:color w:val="auto"/>
        </w:rPr>
        <w:t>Compliance or failure to comply with the Americans with Disabilities Act or other safety regulations and requirements could result in substantial costs.</w:t>
      </w:r>
    </w:p>
    <w:p>
      <w:pPr>
        <w:spacing w:after="0" w:line="5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The Americans with Disabilities Act generally requires that certain buildings, including office buildings, residential buildings and hotels, be made accessible to disabled persons. Noncompliance could result in the imposition of fines by the federal government or the award of damages to private litigants. If, under the Americans with Disabilities Act, we are required to make substantial alterations and capital expenditures in one or more of our properties, including the removal of access barriers, it could adversely affect our financial condition and results of operations, as well as the amount of cash available for distribution to our securityholders.</w:t>
      </w:r>
    </w:p>
    <w:p>
      <w:pPr>
        <w:spacing w:after="0" w:line="140" w:lineRule="exact"/>
        <w:rPr>
          <w:sz w:val="20"/>
          <w:szCs w:val="20"/>
          <w:color w:val="auto"/>
        </w:rPr>
      </w:pPr>
    </w:p>
    <w:p>
      <w:pPr>
        <w:ind w:right="160" w:firstLine="391"/>
        <w:spacing w:after="0" w:line="250" w:lineRule="auto"/>
        <w:rPr>
          <w:sz w:val="20"/>
          <w:szCs w:val="20"/>
          <w:color w:val="auto"/>
        </w:rPr>
      </w:pPr>
      <w:r>
        <w:rPr>
          <w:rFonts w:ascii="Arial" w:cs="Arial" w:eastAsia="Arial" w:hAnsi="Arial"/>
          <w:sz w:val="16"/>
          <w:szCs w:val="16"/>
          <w:color w:val="auto"/>
        </w:rPr>
        <w:t>Our properties are subject to various federal, state and local regulatory requirements, such as state and local fire and life safety requirements. If we fail to comply with these requirements, we could incur fines or private damage awards. We do not know whether existing requirements will change or whether compliance with future requirements will require significant unanticipated expenditures that will affect our cash flow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international activities will be subject to special risks and we may not be able to effectively manage our international business.</w:t>
      </w:r>
    </w:p>
    <w:p>
      <w:pPr>
        <w:spacing w:after="0" w:line="9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have underwritten, and in the future may acquire, properties, portfolios of properties or interests in real estate-related entities on a strategic or selective basis in international markets that are new to us. If we acquire properties or platforms located in these markets, we will face risks associated with a lack of market knowledge and understanding of the local economy, forging new business relationships in the area and unfamiliarity with local laws and government and permitting procedures. In addition, our international operations will be subject to the usual risks of doing business abroad such as possible revisions in tax treaties or other laws and regulations, including those governing the taxation of our international income, restrictions on the transfer of funds and uncertainty over terrorist activities. We cannot predict the likelihood that any of these developments may occur. Further, we may in the future enter into agreements with non-U.S. entities that are governed by the laws of, and are subject to dispute resolution in the courts of, another country or region. We cannot accurately predict whether such a forum would provide us with an effective and efficient means of resolving disputes that may arise.</w:t>
      </w:r>
    </w:p>
    <w:p>
      <w:pPr>
        <w:spacing w:after="0" w:line="138"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Investments in international markets may also subject us to risks associated with funding increasing headcount, integrating new offices, and establishing effective controls and procedures to regulate the operations of new offices and to monitor compliance with U.S. laws and regulations such as the Foreign Corrupt Practices Act and similar foreign laws and regulations, such as the U.K. Bribery Act.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b w:val="1"/>
          <w:bCs w:val="1"/>
          <w:i w:val="1"/>
          <w:iCs w:val="1"/>
          <w:color w:val="auto"/>
        </w:rPr>
        <w:t>We may be subject to risks from potential fluctuations in exchange rates between the U.S. dollar and the currencies of the other countries in which we invest.</w:t>
      </w:r>
    </w:p>
    <w:p>
      <w:pPr>
        <w:spacing w:after="0" w:line="44"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If we invest in countries where the U.S. dollar is not the national currency, we will be subject to international currency risks from the potential fluctuations in exchange rates between the U.S. dollar and the currencies of those other countries. A significant depreciation in the value of the currency of one or more countries where we have a significant investment may materially affect our results of operations. We may attempt to mitigate any such effects by borrowing in the currency of the country in which we are investing and, under certain circumstances, by hedging exchange rate fluctuations; however, access to capital may be more restricted, or unavailable on favorable terms or at all, in certain locations. For leases denominated in international currencies, we may use derivative financial instruments to manage the international currency exchange risk. We cannot assure you, however, that our efforts will successfully neutralize all international currency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 and Financing</w:t>
      </w:r>
    </w:p>
    <w:p>
      <w:pPr>
        <w:spacing w:after="0" w:line="15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b w:val="1"/>
          <w:bCs w:val="1"/>
          <w:i w:val="1"/>
          <w:iCs w:val="1"/>
          <w:color w:val="auto"/>
        </w:rPr>
        <w:t>An increase in interest rates would increase our interest costs on variable rate debt and could adversely impact our ability to refinance existing debt or sell assets on favorable terms or at all.</w:t>
      </w:r>
    </w:p>
    <w:p>
      <w:pPr>
        <w:spacing w:after="0" w:line="5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As of February 21, 2023, we had $1.2 billion outstanding indebtedness, excluding our unconsolidated joint ventures, that bears interest at a variable rate, and we may incur more indebtedness in the future. Interest rates increased throughout 2022, and if interest rates continue to increase, then so would the interest costs on our unhedged variable rate debt, which could adversely affect our cash flow and our ability to pay principal and interest on our debt and our ability to make distributions to our securityholders. Further, rising interest rates could limit our ability to refinance existing debt when it matures or significantly increase our future interest expense. From time to time, we enter into interest rate swap agreements and other interest rate hedging contracts, including swaps, caps and floors. While these agreements are intended to lessen the impact of rising interest rates on us, they also expose us to the risk that the other parties to the agreements will not perform, we could incur significant costs associated with the settlement of the agreements, the agreements will be unenforceable and the underlying transactions will fail to qualify as highly-effective cash flow hedges under guidance included in ASC 815 “Derivatives and Hedging.” In addition, an increase in interest rates could decrease the amounts third-parties are willing to pay for our assets, thereby limiting our ability to change our portfolio promptly in response to changes in economic or other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Covenants in our debt agreements could adversely affect our financial condition.</w:t>
      </w:r>
    </w:p>
    <w:p>
      <w:pPr>
        <w:spacing w:after="0" w:line="10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The mortgages on our properties contain customary covenants such as those that limit our ability, without the prior consent of the lender, to further mortgage the applicable property or to modify or discontinue insurance coverage. Our unsecured credit facility, unsecured debt securities and certain secured loans contain customary restrictions, requirements and other limitations on our ability to incur indebtedness, including total debt to asset ratios, secured debt to total asset ratios, debt service coverage ratios and minimum ratios of unencumbered assets to unsecured debt, which we must maintain. Our continued ability to borrow under our credit facilities is subject to compliance with our financial and other covenants. In addition, our failure to comply with such covenants could cause a default under the applicable debt agreement, and we may then be required to repay such debt with capital from other sources. Under those circumstances, other sources of capital may not be available to us, or be available only on unattractive terms. Additionally, in the future our ability to satisfy current or prospective lenders’ insurance requirements may be adversely affected if lenders generally insist upon greater insurance coverage against acts of terrorism or losses resulting from earthquakes than is available to us in the marketplace or on commercially reasonable terms.</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We rely on debt financing, including borrowings under our unsecured credit facility, issuances of unsecured debt securities and debt secured by individual properties, to finance our existing portfolio, our acquisition and development activities and for working capital. If we are unable to obtain debt financing from these or other sources, or to refinance existing indebtedness upon maturity, our financial condition and results of operations would likely be adversely affected. If we breach covenants in our debt agreements, the lenders can declare a default and, if the debt is secured, can take possession of the property securing the defaulted loan. In addition, our unsecured debt agreements contain specific cross-default provisions with respect to specified other indebtedness, giving the unsecured lenders the right to declare a default if we are in default under other loans in some circumstances. Defaults under our debt agreements could materially and adversely affect our financial condition and results of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the use of debt to fund acquisitions and developments, including refinancing risk.</w:t>
      </w:r>
    </w:p>
    <w:p>
      <w:pPr>
        <w:spacing w:after="0" w:line="95" w:lineRule="exact"/>
        <w:rPr>
          <w:sz w:val="20"/>
          <w:szCs w:val="20"/>
          <w:color w:val="auto"/>
        </w:rPr>
      </w:pPr>
    </w:p>
    <w:p>
      <w:pPr>
        <w:ind w:right="140" w:firstLine="391"/>
        <w:spacing w:after="0" w:line="248" w:lineRule="auto"/>
        <w:rPr>
          <w:sz w:val="20"/>
          <w:szCs w:val="20"/>
          <w:color w:val="auto"/>
        </w:rPr>
      </w:pPr>
      <w:r>
        <w:rPr>
          <w:rFonts w:ascii="Arial" w:cs="Arial" w:eastAsia="Arial" w:hAnsi="Arial"/>
          <w:sz w:val="16"/>
          <w:szCs w:val="16"/>
          <w:color w:val="auto"/>
        </w:rPr>
        <w:t>We are subject to the risks normally associated with debt financing, including the risk that our cash flow will be insufficient to meet required payments of principal and interest. We anticipate that only a small portion of the principal of our debt will be repaid prior to maturity. Therefore, we are likely to need to refinance at least a portion of our outstanding debt as it matures. There is a risk that we may not be able to refinance existing debt or that the terms of any refinancing will not be as favorable as the terms of our existing debt. If principal payments due at maturity cannot be refinanced, extended or repaid with proceeds from other sources, such as new equity capital, our cash flow may not be sufficient to repay all maturing debt in years when significant “balloon” payments come due. In addition, we may rely on debt to fund a portion of our new investments such as our acquisition and development activity. There is a risk that we may be unable to finance these activities on favorable terms or at all. These conditions, which increase the cost and reduce the availability of debt, may continue or worsen in the future.</w:t>
      </w:r>
    </w:p>
    <w:p>
      <w:pPr>
        <w:spacing w:after="0" w:line="138" w:lineRule="exact"/>
        <w:rPr>
          <w:sz w:val="20"/>
          <w:szCs w:val="20"/>
          <w:color w:val="auto"/>
        </w:rPr>
      </w:pPr>
    </w:p>
    <w:p>
      <w:pPr>
        <w:ind w:right="240" w:firstLine="391"/>
        <w:spacing w:after="0" w:line="248" w:lineRule="auto"/>
        <w:rPr>
          <w:sz w:val="20"/>
          <w:szCs w:val="20"/>
          <w:color w:val="auto"/>
        </w:rPr>
      </w:pPr>
      <w:r>
        <w:rPr>
          <w:rFonts w:ascii="Arial" w:cs="Arial" w:eastAsia="Arial" w:hAnsi="Arial"/>
          <w:sz w:val="16"/>
          <w:szCs w:val="16"/>
          <w:color w:val="auto"/>
        </w:rPr>
        <w:t>We have had and may in the future have agreements with a number of limited partners of BPLP who contributed properties in exchange for partnership interests that require BPLP to maintain for specified periods of time secured debt on certain of our assets and/or allocate partnership debt to such limited partners to enable them to continue to defer recognition of their taxable gain with respect to the contributed property. These tax protection and debt allocation agreements may restrict our ability to repay or refinance debt. As of December 31, 2022, we had one tax protection agreement that could restrict our ability to repay or finance debt.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degree of leverage could limit our ability to obtain additional financing or affect the market price of our equity and debt securities.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February 21, 2023, our Consolidated Debt was approximately $14.7 billion (excluding unconsolidated joint venture debt).</w:t>
      </w:r>
    </w:p>
    <w:p>
      <w:pPr>
        <w:spacing w:after="0" w:line="148" w:lineRule="exact"/>
        <w:rPr>
          <w:sz w:val="20"/>
          <w:szCs w:val="20"/>
          <w:color w:val="auto"/>
        </w:rPr>
      </w:pPr>
    </w:p>
    <w:p>
      <w:pPr>
        <w:ind w:right="740" w:firstLine="391"/>
        <w:spacing w:after="0" w:line="253" w:lineRule="auto"/>
        <w:rPr>
          <w:sz w:val="20"/>
          <w:szCs w:val="20"/>
          <w:color w:val="auto"/>
        </w:rPr>
      </w:pPr>
      <w:r>
        <w:rPr>
          <w:rFonts w:ascii="Arial" w:cs="Arial" w:eastAsia="Arial" w:hAnsi="Arial"/>
          <w:sz w:val="16"/>
          <w:szCs w:val="16"/>
          <w:color w:val="auto"/>
        </w:rPr>
        <w:t>The following table presents Consolidated Market Capitalization as well as the corresponding ratios of Consolidated Debt to Consolidated Market Capitalization (dollars and shares / units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February 21, 2023</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60" w:type="dxa"/>
            <w:vAlign w:val="bottom"/>
            <w:gridSpan w:val="2"/>
          </w:tcPr>
          <w:p>
            <w:pPr>
              <w:jc w:val="center"/>
              <w:ind w:right="200"/>
              <w:spacing w:after="0" w:line="137" w:lineRule="exact"/>
              <w:rPr>
                <w:sz w:val="20"/>
                <w:szCs w:val="20"/>
                <w:color w:val="auto"/>
              </w:rPr>
            </w:pPr>
            <w:r>
              <w:rPr>
                <w:rFonts w:ascii="Arial" w:cs="Arial" w:eastAsia="Arial" w:hAnsi="Arial"/>
                <w:sz w:val="14"/>
                <w:szCs w:val="14"/>
                <w:b w:val="1"/>
                <w:bCs w:val="1"/>
                <w:color w:val="auto"/>
              </w:rPr>
              <w:t>Shares / Units</w:t>
            </w:r>
          </w:p>
        </w:tc>
        <w:tc>
          <w:tcPr>
            <w:tcW w:w="1640" w:type="dxa"/>
            <w:vAlign w:val="bottom"/>
            <w:gridSpan w:val="2"/>
          </w:tcPr>
          <w:p>
            <w:pPr>
              <w:ind w:left="200"/>
              <w:spacing w:after="0" w:line="137"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Equivalent Value (1)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Equivalent</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60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Common Stock</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156,823</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156,823</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10,732,966</w:t>
            </w: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6"/>
          </w:tcPr>
          <w:p>
            <w:pPr>
              <w:spacing w:after="0"/>
              <w:rPr>
                <w:sz w:val="20"/>
                <w:szCs w:val="20"/>
                <w:color w:val="auto"/>
              </w:rPr>
            </w:pPr>
            <w:r>
              <w:rPr>
                <w:rFonts w:ascii="Arial" w:cs="Arial" w:eastAsia="Arial" w:hAnsi="Arial"/>
                <w:sz w:val="14"/>
                <w:szCs w:val="14"/>
                <w:color w:val="auto"/>
              </w:rPr>
              <w:t>Common Operating Partnership Units</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18,663</w:t>
            </w: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18,663</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1,277,296</w:t>
            </w:r>
          </w:p>
        </w:tc>
        <w:tc>
          <w:tcPr>
            <w:tcW w:w="400" w:type="dxa"/>
            <w:vAlign w:val="bottom"/>
            <w:tcBorders>
              <w:bottom w:val="single" w:sz="8" w:color="CCEEFF"/>
            </w:tcBorders>
          </w:tcPr>
          <w:p>
            <w:pPr>
              <w:jc w:val="right"/>
              <w:ind w:right="149"/>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Equity (A)</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12,010,262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040" w:type="dxa"/>
            <w:vAlign w:val="bottom"/>
            <w:gridSpan w:val="6"/>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Consolidated Debt (B)</w:t>
            </w: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0"/>
              <w:spacing w:after="0" w:line="154" w:lineRule="exact"/>
              <w:rPr>
                <w:sz w:val="20"/>
                <w:szCs w:val="20"/>
                <w:color w:val="auto"/>
              </w:rPr>
            </w:pPr>
            <w:r>
              <w:rPr>
                <w:rFonts w:ascii="Arial" w:cs="Arial" w:eastAsia="Arial" w:hAnsi="Arial"/>
                <w:sz w:val="14"/>
                <w:szCs w:val="14"/>
                <w:color w:val="auto"/>
              </w:rPr>
              <w:t>14,707,348</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CCEEFF"/>
              <w:bottom w:val="single" w:sz="8" w:color="CCEEFF"/>
            </w:tcBorders>
          </w:tcPr>
          <w:p>
            <w:pPr>
              <w:spacing w:after="0"/>
              <w:rPr>
                <w:sz w:val="19"/>
                <w:szCs w:val="19"/>
                <w:color w:val="auto"/>
              </w:rPr>
            </w:pPr>
          </w:p>
        </w:tc>
        <w:tc>
          <w:tcPr>
            <w:tcW w:w="1600" w:type="dxa"/>
            <w:vAlign w:val="bottom"/>
            <w:tcBorders>
              <w:top w:val="single" w:sz="8" w:color="CCEEFF"/>
              <w:bottom w:val="single" w:sz="8" w:color="CCEEFF"/>
            </w:tcBorders>
          </w:tcPr>
          <w:p>
            <w:pPr>
              <w:spacing w:after="0"/>
              <w:rPr>
                <w:sz w:val="19"/>
                <w:szCs w:val="19"/>
                <w:color w:val="auto"/>
              </w:rPr>
            </w:pPr>
          </w:p>
        </w:tc>
        <w:tc>
          <w:tcPr>
            <w:tcW w:w="1580" w:type="dxa"/>
            <w:vAlign w:val="bottom"/>
            <w:tcBorders>
              <w:top w:val="single" w:sz="8" w:color="CCEEFF"/>
              <w:bottom w:val="single" w:sz="8" w:color="CCEEFF"/>
            </w:tcBorders>
          </w:tcPr>
          <w:p>
            <w:pPr>
              <w:spacing w:after="0"/>
              <w:rPr>
                <w:sz w:val="19"/>
                <w:szCs w:val="19"/>
                <w:color w:val="auto"/>
              </w:rPr>
            </w:pPr>
          </w:p>
        </w:tc>
        <w:tc>
          <w:tcPr>
            <w:tcW w:w="136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4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460" w:type="dxa"/>
            <w:vAlign w:val="bottom"/>
            <w:tcBorders>
              <w:top w:val="single" w:sz="8" w:color="CCEEFF"/>
              <w:bottom w:val="single" w:sz="8" w:color="auto"/>
            </w:tcBorders>
          </w:tcPr>
          <w:p>
            <w:pPr>
              <w:spacing w:after="0"/>
              <w:rPr>
                <w:sz w:val="19"/>
                <w:szCs w:val="19"/>
                <w:color w:val="auto"/>
              </w:rPr>
            </w:pPr>
          </w:p>
        </w:tc>
        <w:tc>
          <w:tcPr>
            <w:tcW w:w="4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Consolidated Market Capitalization (A + B)</w:t>
            </w:r>
          </w:p>
        </w:tc>
        <w:tc>
          <w:tcPr>
            <w:tcW w:w="3180" w:type="dxa"/>
            <w:vAlign w:val="bottom"/>
            <w:tcBorders>
              <w:bottom w:val="single" w:sz="8" w:color="CCEEFF"/>
            </w:tcBorders>
            <w:gridSpan w:val="2"/>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26,717,610</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6"/>
            <w:vMerge w:val="restart"/>
          </w:tcPr>
          <w:p>
            <w:pPr>
              <w:spacing w:after="0" w:line="153" w:lineRule="exact"/>
              <w:rPr>
                <w:sz w:val="20"/>
                <w:szCs w:val="20"/>
                <w:color w:val="auto"/>
              </w:rPr>
            </w:pPr>
            <w:r>
              <w:rPr>
                <w:rFonts w:ascii="Arial" w:cs="Arial" w:eastAsia="Arial" w:hAnsi="Arial"/>
                <w:sz w:val="14"/>
                <w:szCs w:val="14"/>
                <w:b w:val="1"/>
                <w:bCs w:val="1"/>
                <w:color w:val="auto"/>
              </w:rPr>
              <w:t>Consolidated Debt/Consolidated Market Capitalization [B / (A + B)]</w:t>
            </w: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040" w:type="dxa"/>
            <w:vAlign w:val="bottom"/>
            <w:gridSpan w:val="6"/>
            <w:vMerge w:val="continue"/>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right"/>
              <w:spacing w:after="0" w:line="113" w:lineRule="exact"/>
              <w:rPr>
                <w:sz w:val="20"/>
                <w:szCs w:val="20"/>
                <w:color w:val="auto"/>
              </w:rPr>
            </w:pPr>
            <w:r>
              <w:rPr>
                <w:rFonts w:ascii="Arial" w:cs="Arial" w:eastAsia="Arial" w:hAnsi="Arial"/>
                <w:sz w:val="13"/>
                <w:szCs w:val="13"/>
                <w:color w:val="auto"/>
              </w:rPr>
              <w:t>55.05 %</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 w:lineRule="exact"/>
        <w:rPr>
          <w:sz w:val="20"/>
          <w:szCs w:val="20"/>
          <w:color w:val="auto"/>
        </w:rPr>
      </w:pPr>
    </w:p>
    <w:p>
      <w:pPr>
        <w:ind w:left="480" w:hanging="272"/>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Values are based on the closing price per share of BXP’s Common Stock on February 21, 2023 of $68.44.</w:t>
      </w:r>
    </w:p>
    <w:p>
      <w:pPr>
        <w:spacing w:after="0" w:line="4" w:lineRule="exact"/>
        <w:rPr>
          <w:rFonts w:ascii="Arial" w:cs="Arial" w:eastAsia="Arial" w:hAnsi="Arial"/>
          <w:sz w:val="14"/>
          <w:szCs w:val="14"/>
          <w:color w:val="auto"/>
        </w:rPr>
      </w:pPr>
    </w:p>
    <w:p>
      <w:pPr>
        <w:ind w:left="500" w:right="80" w:hanging="292"/>
        <w:spacing w:after="0" w:line="279" w:lineRule="auto"/>
        <w:tabs>
          <w:tab w:leader="none" w:pos="496"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LTIP Units (including 2012 OPP Units and earned MYLTIP Units that were granted between 2013 - 2020), but excludes MYLTIP Units granted between 2021 and 2023 because the performance period for those awards has not yet ended.</w:t>
      </w:r>
    </w:p>
    <w:p>
      <w:pPr>
        <w:spacing w:after="0" w:line="109"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Our degree of leverage could affect our ability to obtain additional financing for working capital, capital expenditures, acquisitions, development or other general corporate purposes. Our senior unsecured debt is currently rated investment grade by two major rating agencies. However, there can be no assurance that we will be able to maintain this rating, and in the event our senior debt is downgraded from its current rating, we would likely incur higher borrowing costs and/or difficulty in obtaining additional financing. Our degree of leverage could also make us more vulnerable to a downturn in business or the economy generally. There is a risk that changes in our debt to market capitalization ratio, which is in part a function of BXP’s stock price, or BPLP’s ratio of indebtedness to other measures of asset value used by financial analysts may have an adverse effect on the market price of our equity or debt securities.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b w:val="1"/>
          <w:bCs w:val="1"/>
          <w:i w:val="1"/>
          <w:iCs w:val="1"/>
          <w:color w:val="auto"/>
        </w:rPr>
        <w:t>The discontinuation of LIBOR and the replacement of LIBOR with an alternative reference rate may adversely affect our borrowing costs and could impact our business and results of operations.</w:t>
      </w:r>
    </w:p>
    <w:p>
      <w:pPr>
        <w:spacing w:after="0" w:line="67"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We expect that all LIBOR settings relevant to us will cease to be published or will no longer be representative after June 30, 2023. The discontinuation of LIBOR will not affect our ability to borrow or maintain already outstanding borrowings or hedging transactions, but if our contracts indexed to LIBOR are converted to SOFR, the differences between LIBOR and SOFR, plus the recommended spread adjustment, could result in interest or hedging costs that are higher than if LIBOR remained available. Additionally, although SOFR is the recommended replacement rate, it is also possible that lenders may instead choose alternative replacements that may differ from LIBOR in ways similar to SOFR or in ways that would result in higher interest or hedging costs for us. It is not yet possible to predict the magnitude of LIBOR’s end on our borrowing costs given the remaining uncertainty about which rates will replace LIBOR. As of December 31, 2022, each of the agreements governing our variable rate debt either have been transitioned to SOFR or provide for the replacement of LIBOR if it becomes unavailable during the term of such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short-term liquid investments.</w:t>
      </w:r>
    </w:p>
    <w:p>
      <w:pPr>
        <w:spacing w:after="0" w:line="107" w:lineRule="exact"/>
        <w:rPr>
          <w:sz w:val="20"/>
          <w:szCs w:val="20"/>
          <w:color w:val="auto"/>
        </w:rPr>
      </w:pPr>
    </w:p>
    <w:p>
      <w:pPr>
        <w:ind w:right="320" w:firstLine="391"/>
        <w:spacing w:after="0" w:line="253" w:lineRule="auto"/>
        <w:rPr>
          <w:sz w:val="20"/>
          <w:szCs w:val="20"/>
          <w:color w:val="auto"/>
        </w:rPr>
      </w:pPr>
      <w:r>
        <w:rPr>
          <w:rFonts w:ascii="Arial" w:cs="Arial" w:eastAsia="Arial" w:hAnsi="Arial"/>
          <w:sz w:val="16"/>
          <w:szCs w:val="16"/>
          <w:color w:val="auto"/>
        </w:rPr>
        <w:t>We may invest cash balances in a variety of short-term investments that are intended to preserve principal value and maintain a high degree of liquidity while providing current income. From time to time, these investments may include (either directly or indirectly):</w:t>
      </w:r>
    </w:p>
    <w:p>
      <w:pPr>
        <w:spacing w:after="0" w:line="122" w:lineRule="exact"/>
        <w:rPr>
          <w:sz w:val="20"/>
          <w:szCs w:val="20"/>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 obligations issued by the U.S. Treasury;</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obligations issued or guaranteed by the U.S. Government or its agencies;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taxable municipal securities;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obligations (including certificates of deposit) of banks and thrifts;</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commercial paper and other instruments consisting of short-term U.S. dollar denominated obligations issued by corporations and banks;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repurchase agreements collateralized by corporate and asset-backed obligations;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both registered and unregistered money market funds; and</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highly rated short-term securities.</w:t>
      </w:r>
    </w:p>
    <w:p>
      <w:pPr>
        <w:spacing w:after="0" w:line="148"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Investments in these securities and funds are not insured against loss of principal. Under certain circumstances we may be required to redeem all or part of our investment, and our right to redeem some or all of our investment may be delayed or suspended. In addition, there is no guarantee that our investments in these securities or funds will be redeemable at par value. A decline in the value of our investment or a delay or suspension of our right to redeem may have a material adverse effect on our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Organization and Structure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of interest exist with holders of interests in BPLP.</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Sales of properties and repayment of related indebtedness will have different effects on holders of interests in BPLP than on BXP’s stockholders.</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Some holders of interests in BPLP could incur adverse tax consequences upon the sale of certain of our properties and on the repayment of related debt which differ from the tax consequences to BXP and its stockholders. Consequently, such holders of partnership interests in BPLP may have different objectives regarding the appropriate pricing and timing of any such sale or repayment of debt. While BXP has exclusive authority under the limited partnership agreement of BPLP to determine when to refinance or repay debt or whether, when, and on what terms to sell a property, subject, in the case of certain properties, to the contractual commitments described below, any such decision would require the approval of BXP’s Board of Directors. While the Board of Directors has a policy with respect to these matters directors and executive officers could exercise their influence in a manner inconsistent with the interests of some, or a majority, of BXP’s stockholders, including in a manner which could prevent completion of a sale of a property or the repayment of indebtedness.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Agreement not to sell some properties.</w:t>
      </w:r>
    </w:p>
    <w:p>
      <w:pPr>
        <w:spacing w:after="0" w:line="93" w:lineRule="exact"/>
        <w:rPr>
          <w:sz w:val="20"/>
          <w:szCs w:val="20"/>
          <w:color w:val="auto"/>
        </w:rPr>
      </w:pPr>
    </w:p>
    <w:p>
      <w:pPr>
        <w:ind w:right="40" w:firstLine="391"/>
        <w:spacing w:after="0" w:line="249" w:lineRule="auto"/>
        <w:rPr>
          <w:sz w:val="20"/>
          <w:szCs w:val="20"/>
          <w:color w:val="auto"/>
        </w:rPr>
      </w:pPr>
      <w:r>
        <w:rPr>
          <w:rFonts w:ascii="Arial" w:cs="Arial" w:eastAsia="Arial" w:hAnsi="Arial"/>
          <w:sz w:val="16"/>
          <w:szCs w:val="16"/>
          <w:color w:val="auto"/>
        </w:rPr>
        <w:t>We have had and may have in the future agreements with the contributors of properties that we have acquired in exchange for partnership interests in BPLP pursuant to which we have agreed not to sell or otherwise transfer the properties, prior to specified dates, in any transaction that would trigger taxable income to the contributors. In addition, we are responsible for the reimbursement of certain tax-related costs to the prior owners if the subject properties are sold in a taxable sale. In general, our obligations to the prior owners are limited in time and only apply to actual damages suffered.</w:t>
      </w:r>
    </w:p>
    <w:p>
      <w:pPr>
        <w:spacing w:after="0" w:line="137"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Also, BPLP has had and may have in the future agreements providing prior owners of properties with the right to guarantee specific amounts of indebtedness and, in the event that the specific indebtedness they guarantee is repaid or reduced, additional and/or substitute indebtedness. These agreements may hinder actions that BPLP may otherwise desire to take to repay or refinance guaranteed indebtedness because doing so would require BPLP to make payments to the prior owners if BPLP violates these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Limits on changes in control may discourage takeover attempts beneficial to stockholders.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Provisions in BXP’s charter and bylaws, BXP’s shareholder rights agreement and the limited partnership agreement of BPLP, as well as provisions of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Code and Delaware corporate law, may:</w:t>
      </w:r>
    </w:p>
    <w:p>
      <w:pPr>
        <w:spacing w:after="0" w:line="124" w:lineRule="exact"/>
        <w:rPr>
          <w:sz w:val="20"/>
          <w:szCs w:val="20"/>
          <w:color w:val="auto"/>
        </w:rPr>
      </w:pPr>
    </w:p>
    <w:p>
      <w:pPr>
        <w:ind w:left="640" w:hanging="290"/>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delay or prevent a change of control over BXP or a tender offer, even if such action might be beneficial to BXP’s stockholders; and</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 BXP’s stockholders’ opportunity to receive a potential premium for their shares of common stock over then-prevailing market prices.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 Ownership Limit</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To facilitate maintenance of BXP’s qualification as a REIT and to otherwise address concerns relating to concentration of stock ownership, BXP’s charter generally prohibits ownership, directly, indirectly or beneficially, by any single stockholder of more than 6.6% of the number of outstanding shares of any class or series of its common stock. We refer to this limitation as the “ownership limit.” BXP’s Board of Directors may waive, in its sole discretion, or modify the ownership limit with respect to one or more persons if it is satisfied that ownership in excess of this limit will not jeopardize BXP’s status as a REIT for federal income tax purposes. In addition, under BXP’s charter, each of Mortimer B. Zuckerman and the respective families and affiliates of Mortimer B. Zuckerman and Edward H. Linde, as well as, in general, pension plans and mutual funds, may actually and beneficially own up to 15% of the number of outstanding shares of any class or series of BXP’s equity common stock. Shares owned in violation of the ownership limit will be subject to the loss of rights to distributions and voting and other penalties. The ownership limit may have the effect of inhibiting or impeding a change in control.</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BPLP’s Partnership Agreement</w:t>
      </w:r>
    </w:p>
    <w:p>
      <w:pPr>
        <w:spacing w:after="0" w:line="105" w:lineRule="exact"/>
        <w:rPr>
          <w:sz w:val="20"/>
          <w:szCs w:val="20"/>
          <w:color w:val="auto"/>
        </w:rPr>
      </w:pPr>
    </w:p>
    <w:p>
      <w:pPr>
        <w:ind w:right="40" w:firstLine="391"/>
        <w:spacing w:after="0" w:line="247" w:lineRule="auto"/>
        <w:rPr>
          <w:sz w:val="20"/>
          <w:szCs w:val="20"/>
          <w:color w:val="auto"/>
        </w:rPr>
      </w:pPr>
      <w:r>
        <w:rPr>
          <w:rFonts w:ascii="Arial" w:cs="Arial" w:eastAsia="Arial" w:hAnsi="Arial"/>
          <w:sz w:val="16"/>
          <w:szCs w:val="16"/>
          <w:color w:val="auto"/>
        </w:rPr>
        <w:t>BXP has agreed in the limited partnership agreement of BPLP not to engage in specified extraordinary transactions, including, among others, business combinations, unless limited partners of BPLP other than BXP receive, or have the opportunity to receive, either (1) the same consideration for their partnership interests as holders of BXP common stock in the transaction or (2) limited partnership units that, among other things, would entitle the holders, upon redemption of these units, to receive shares of common equity of a publicly traded company or the same consideration as holders of BXP common stock received in the transaction. If these limited partners would not receive such consideration, we cannot engage in the transaction unless limited partners holding at least 75% of the common units of limited partnership interest, other than those held by BXP or its affiliates, consent to the transaction. In addition, BXP has agreed in the limited partnership agreement of BPLP that it will not complete specified extraordinary transactions, including among others, business combinations, in which BXP receive the approval of its common stockholders unless (1) limited partners holding at least 75% of the common units of limited partnership interest, other than those held by BXP or its affiliates, consent to the transaction or (2) the limited partners of BPLP are also allowed to vote and the transaction would have been approved had these limited partners been able to vote as common stockholders on the transaction. Therefore, if BXP’s common stockholders approve a specified extraordinary transaction, the partnership agreement requires the following before it can complete the transaction:</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hanging="290"/>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holders of partnership interests in BPLP, including BXP, must vote on the matter;</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BXP must vote its partnership interests in the same proportion as its stockholders voted on the transaction; and</w:t>
      </w:r>
    </w:p>
    <w:p>
      <w:pPr>
        <w:spacing w:after="0" w:line="135" w:lineRule="exact"/>
        <w:rPr>
          <w:rFonts w:ascii="Arial" w:cs="Arial" w:eastAsia="Arial" w:hAnsi="Arial"/>
          <w:sz w:val="16"/>
          <w:szCs w:val="16"/>
          <w:color w:val="auto"/>
        </w:rPr>
      </w:pPr>
    </w:p>
    <w:p>
      <w:pPr>
        <w:ind w:left="640" w:right="20" w:hanging="290"/>
        <w:spacing w:after="0" w:line="253" w:lineRule="auto"/>
        <w:tabs>
          <w:tab w:leader="none" w:pos="6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result of the vote of holders of partnership interests in BPLP must be such that had such vote been a vote of stockholders, the business combination would have been approved.</w:t>
      </w:r>
    </w:p>
    <w:p>
      <w:pPr>
        <w:spacing w:after="0" w:line="134" w:lineRule="exact"/>
        <w:rPr>
          <w:sz w:val="20"/>
          <w:szCs w:val="20"/>
          <w:color w:val="auto"/>
        </w:rPr>
      </w:pPr>
    </w:p>
    <w:p>
      <w:pPr>
        <w:ind w:right="560" w:firstLine="391"/>
        <w:spacing w:after="0" w:line="250" w:lineRule="auto"/>
        <w:rPr>
          <w:sz w:val="20"/>
          <w:szCs w:val="20"/>
          <w:color w:val="auto"/>
        </w:rPr>
      </w:pPr>
      <w:r>
        <w:rPr>
          <w:rFonts w:ascii="Arial" w:cs="Arial" w:eastAsia="Arial" w:hAnsi="Arial"/>
          <w:sz w:val="16"/>
          <w:szCs w:val="16"/>
          <w:color w:val="auto"/>
        </w:rPr>
        <w:t>With respect to specified extraordinary transactions, BXP has agreed in BPLP’s partnership agreement to use its commercially reasonable efforts to structure such a transaction to avoid causing its limited partners to recognize gain for federal income tax purposes by virtue of the occurrence of or their participation in such a transaction.</w:t>
      </w:r>
    </w:p>
    <w:p>
      <w:pPr>
        <w:spacing w:after="0" w:line="136" w:lineRule="exact"/>
        <w:rPr>
          <w:sz w:val="20"/>
          <w:szCs w:val="20"/>
          <w:color w:val="auto"/>
        </w:rPr>
      </w:pPr>
    </w:p>
    <w:p>
      <w:pPr>
        <w:ind w:right="360" w:firstLine="391"/>
        <w:spacing w:after="0" w:line="286" w:lineRule="auto"/>
        <w:rPr>
          <w:sz w:val="20"/>
          <w:szCs w:val="20"/>
          <w:color w:val="auto"/>
        </w:rPr>
      </w:pPr>
      <w:r>
        <w:rPr>
          <w:rFonts w:ascii="Arial" w:cs="Arial" w:eastAsia="Arial" w:hAnsi="Arial"/>
          <w:sz w:val="15"/>
          <w:szCs w:val="15"/>
          <w:color w:val="auto"/>
        </w:rPr>
        <w:t>As a result of these provisions, a potential acquirer may be deterred from making an acquisition proposal, and BXP may be prohibited by contract from engaging in a proposed extraordinary transaction, including a proposed business combination, even though BXP stockholders approve of the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change our policies without obtaining the approval of our stockholders.</w:t>
      </w:r>
    </w:p>
    <w:p>
      <w:pPr>
        <w:spacing w:after="0" w:line="95" w:lineRule="exact"/>
        <w:rPr>
          <w:sz w:val="20"/>
          <w:szCs w:val="20"/>
          <w:color w:val="auto"/>
        </w:rPr>
      </w:pPr>
    </w:p>
    <w:p>
      <w:pPr>
        <w:ind w:right="220" w:firstLine="391"/>
        <w:spacing w:after="0" w:line="253" w:lineRule="auto"/>
        <w:rPr>
          <w:sz w:val="20"/>
          <w:szCs w:val="20"/>
          <w:color w:val="auto"/>
        </w:rPr>
      </w:pPr>
      <w:r>
        <w:rPr>
          <w:rFonts w:ascii="Arial" w:cs="Arial" w:eastAsia="Arial" w:hAnsi="Arial"/>
          <w:sz w:val="16"/>
          <w:szCs w:val="16"/>
          <w:color w:val="auto"/>
        </w:rPr>
        <w:t>Our operating and financial policies, including our policies with respect to acquisitions of real estate, growth, operations, indebtedness, capitalization and dividends, are exclusively determined by BXP’s Board of Directors. Accordingly, our securityholders do not control these policies.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BXP’s Status as a REIT</w:t>
      </w:r>
    </w:p>
    <w:p>
      <w:pPr>
        <w:spacing w:after="0" w:line="150" w:lineRule="exact"/>
        <w:rPr>
          <w:sz w:val="20"/>
          <w:szCs w:val="20"/>
          <w:color w:val="auto"/>
        </w:rPr>
      </w:pPr>
    </w:p>
    <w:p>
      <w:pPr>
        <w:ind w:right="780"/>
        <w:spacing w:after="0" w:line="277" w:lineRule="auto"/>
        <w:rPr>
          <w:sz w:val="20"/>
          <w:szCs w:val="20"/>
          <w:color w:val="auto"/>
        </w:rPr>
      </w:pPr>
      <w:r>
        <w:rPr>
          <w:rFonts w:ascii="Arial" w:cs="Arial" w:eastAsia="Arial" w:hAnsi="Arial"/>
          <w:sz w:val="16"/>
          <w:szCs w:val="16"/>
          <w:b w:val="1"/>
          <w:bCs w:val="1"/>
          <w:i w:val="1"/>
          <w:iCs w:val="1"/>
          <w:color w:val="auto"/>
        </w:rPr>
        <w:t>Failure to qualify as a REIT would cause BXP to be taxed as a corporation, which would substantially reduce funds available for payment of dividends.</w:t>
      </w:r>
    </w:p>
    <w:p>
      <w:pPr>
        <w:spacing w:after="0" w:line="5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If BXP fails to qualify as a REIT for federal income tax purposes, it will be taxed as a corporation unless certain relief provisions apply. We believe that BXP is organized and qualified as a REIT and intends to operate in a manner that will allow BXP to continue to qualify as a REIT. However, we cannot assure you that BXP is qualified as such, or that it will remain qualified as such in the future. This is because qualification as a REIT involves the application of highly technical and complex provisions of the Code as to which there are only limited judicial and administrative interpretations and involves the determination of facts and circumstances not entirely within our control. Future legislation, new regulations, administrative interpretations or court decisions may significantly change the tax laws or the application of the tax laws with respect to qualification as a REIT for federal income tax purposes or the federal income tax consequences of such qualification.</w:t>
      </w:r>
    </w:p>
    <w:p>
      <w:pPr>
        <w:spacing w:after="0" w:line="139" w:lineRule="exact"/>
        <w:rPr>
          <w:sz w:val="20"/>
          <w:szCs w:val="20"/>
          <w:color w:val="auto"/>
        </w:rPr>
      </w:pPr>
    </w:p>
    <w:p>
      <w:pPr>
        <w:jc w:val="both"/>
        <w:ind w:right="80" w:firstLine="391"/>
        <w:spacing w:after="0" w:line="250" w:lineRule="auto"/>
        <w:rPr>
          <w:sz w:val="20"/>
          <w:szCs w:val="20"/>
          <w:color w:val="auto"/>
        </w:rPr>
      </w:pPr>
      <w:r>
        <w:rPr>
          <w:rFonts w:ascii="Arial" w:cs="Arial" w:eastAsia="Arial" w:hAnsi="Arial"/>
          <w:sz w:val="16"/>
          <w:szCs w:val="16"/>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federal income tax purposes, then BXP may also fail to qualify as a REIT for federal income tax purposes.</w:t>
      </w:r>
    </w:p>
    <w:p>
      <w:pPr>
        <w:spacing w:after="0" w:line="136" w:lineRule="exact"/>
        <w:rPr>
          <w:sz w:val="20"/>
          <w:szCs w:val="20"/>
          <w:color w:val="auto"/>
        </w:rPr>
      </w:pPr>
    </w:p>
    <w:p>
      <w:pPr>
        <w:ind w:right="260" w:firstLine="391"/>
        <w:spacing w:after="0" w:line="253" w:lineRule="auto"/>
        <w:rPr>
          <w:sz w:val="20"/>
          <w:szCs w:val="20"/>
          <w:color w:val="auto"/>
        </w:rPr>
      </w:pPr>
      <w:r>
        <w:rPr>
          <w:rFonts w:ascii="Arial" w:cs="Arial" w:eastAsia="Arial" w:hAnsi="Arial"/>
          <w:sz w:val="16"/>
          <w:szCs w:val="16"/>
          <w:color w:val="auto"/>
        </w:rPr>
        <w:t>If BXP or any of its subsidiaries that are REITs fails to qualify as a REIT then, unless certain relief provisions apply, it will face serious tax consequences that will substantially reduce the funds available for payment of dividends for each of the years involved because:</w:t>
      </w:r>
    </w:p>
    <w:p>
      <w:pPr>
        <w:spacing w:after="0" w:line="110" w:lineRule="exact"/>
        <w:rPr>
          <w:sz w:val="20"/>
          <w:szCs w:val="20"/>
          <w:color w:val="auto"/>
        </w:rPr>
      </w:pPr>
    </w:p>
    <w:p>
      <w:pPr>
        <w:ind w:left="640" w:right="60" w:hanging="290"/>
        <w:spacing w:after="0" w:line="253"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BXP would not be allowed a deduction for dividends paid to stockholders in computing its taxable income and would be subject to federal income tax at regular corporate rates;</w:t>
      </w:r>
    </w:p>
    <w:p>
      <w:pPr>
        <w:spacing w:after="0" w:line="121" w:lineRule="exact"/>
        <w:rPr>
          <w:rFonts w:ascii="Arial" w:cs="Arial" w:eastAsia="Arial" w:hAnsi="Arial"/>
          <w:sz w:val="16"/>
          <w:szCs w:val="16"/>
          <w:color w:val="auto"/>
        </w:rPr>
      </w:pPr>
    </w:p>
    <w:p>
      <w:pPr>
        <w:ind w:left="640" w:right="280" w:hanging="290"/>
        <w:spacing w:after="0" w:line="253"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BXP also could be subject to the federal alternative minimum tax for tax years ending before January 1, 2018 and possibly increased state and local taxes; and</w:t>
      </w:r>
    </w:p>
    <w:p>
      <w:pPr>
        <w:spacing w:after="0" w:line="121" w:lineRule="exact"/>
        <w:rPr>
          <w:rFonts w:ascii="Arial" w:cs="Arial" w:eastAsia="Arial" w:hAnsi="Arial"/>
          <w:sz w:val="16"/>
          <w:szCs w:val="16"/>
          <w:color w:val="auto"/>
        </w:rPr>
      </w:pPr>
    </w:p>
    <w:p>
      <w:pPr>
        <w:ind w:left="640" w:right="280" w:hanging="290"/>
        <w:spacing w:after="0" w:line="253"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unless BXP is entitled to relief under statutory provisions, BXP could not elect to be subject to tax as a REIT for four taxable years following the year during which it was disqualified.</w:t>
      </w:r>
    </w:p>
    <w:p>
      <w:pPr>
        <w:spacing w:after="0" w:line="134"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In addition, if BXP fails to qualify as a REIT and the relief provisions do not apply, it will no longer be required to pay dividends. As a result of all these factors, BXP’s failure to qualify as a REIT could impair our ability to raise capital and expand our business, and it would adversely affect the value of BXP’s common stock. If BXP or any of its subsidiaries that are REITs fails to qualify as a REIT but is eligible for certain relief provisions, then it may retain its status as a REIT, but may be required to pay a penalty tax, which could be substantial.</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order to maintain BXP’s REIT status, we may be forced to borrow funds during unfavorable market conditions.</w:t>
      </w:r>
    </w:p>
    <w:p>
      <w:pPr>
        <w:spacing w:after="0" w:line="9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In order to maintain BXP’s REIT status, we may need to borrow funds on a short-term basis to meet the REIT distribution requirements, even if the then-prevailing market conditions are not favorable for these borrowings. To qualify as a REIT, BXP generally must distribute to its stockholders at least 90% of its taxable income each year, excluding capital gains and with certain other adjustments. In addition, BXP will be subject to a 4% nondeductible excise tax on the amount, if any, by which dividends paid in any calendar year are less than the sum of 85% of ordinary income, 95% of capital gain net income and 100% of undistributed income from prior years. We may need short-term debt or long-term debt or proceeds from asset sales, creation of joint ventures or sales of common stock to fund required distributions as a result of differences in timing between the actual receipt of income and the recognition of income for federal income tax purposes, or the effect of non-deductible capital expenditures, the creation of reserves or required debt or amortization payments. Any inability of our cash flows to cover our distribution requirements could have an adverse impact on our ability to raise short- and long-term debt or sell equity securities in order to fund distributions required to maintain BXP’s REIT status.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adverse legislative or regulatory tax changes that could negatively impact our financial condition.</w:t>
      </w:r>
    </w:p>
    <w:p>
      <w:pPr>
        <w:spacing w:after="0" w:line="10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At any time, the U.S. federal income tax laws governing REITs or the administrative interpretations of those laws may be amended, including with respect to our hotel ownership structure. We cannot predict if or when any new U.S. federal income tax law, regulation, or administrative interpretation, or any amendment to any existing U.S. federal income tax law, Treasury regulation or administrative interpretation, will be adopted, promulgated or become effective and any such law, regulation, or interpretation may take effect retroactively. BXP, its taxable REIT subsidiaries, and our securityholders could be adversely affected by any such change in, or any new, U.S. federal income tax law, Treasury regulation or administrative interpretation.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possible adverse state and local tax audits and changes in state and local tax laws.</w:t>
      </w:r>
    </w:p>
    <w:p>
      <w:pPr>
        <w:spacing w:after="0" w:line="10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Because BXP is organized and qualifies as a REIT, it is generally not subject to federal income taxes, but we are subject to certain state and local taxes. In the normal course of business, certain entities through which we own real estate either have undergone, or are currently undergoing, tax audits. Although we believe that we have substantial arguments in favor of our positions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139" w:lineRule="exact"/>
        <w:rPr>
          <w:sz w:val="20"/>
          <w:szCs w:val="20"/>
          <w:color w:val="auto"/>
        </w:rPr>
      </w:pPr>
    </w:p>
    <w:p>
      <w:pPr>
        <w:ind w:right="200" w:firstLine="391"/>
        <w:spacing w:after="0" w:line="249" w:lineRule="auto"/>
        <w:rPr>
          <w:sz w:val="20"/>
          <w:szCs w:val="20"/>
          <w:color w:val="auto"/>
        </w:rPr>
      </w:pPr>
      <w:r>
        <w:rPr>
          <w:rFonts w:ascii="Arial" w:cs="Arial" w:eastAsia="Arial" w:hAnsi="Arial"/>
          <w:sz w:val="16"/>
          <w:szCs w:val="16"/>
          <w:color w:val="auto"/>
        </w:rPr>
        <w:t>From time to time changes in state and local tax laws or regulations are enacted, which may result in an increase in our tax liability. A shortfall in tax revenues for states and municipalities in which we operate may lead to an increase in the frequency and size of such changes. If such changes occur, we may be required to pay additional taxes on our assets or income. These increased tax costs could adversely affect our financial condition and results of operations and the amount of cash available for the payment of dividends and distributions to our securityholders.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market conditions could adversely affect the market price of BXP’s common stock.</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with other publicly traded equity securities, the value of BXP’s common stock depends on various market conditions that may change from time to time.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Among the market conditions that may affect the value of BXP’s common stock are the following:</w:t>
      </w:r>
    </w:p>
    <w:p>
      <w:pPr>
        <w:spacing w:after="0" w:line="136" w:lineRule="exact"/>
        <w:rPr>
          <w:sz w:val="20"/>
          <w:szCs w:val="20"/>
          <w:color w:val="auto"/>
        </w:rPr>
      </w:pPr>
    </w:p>
    <w:p>
      <w:pPr>
        <w:ind w:left="640" w:hanging="290"/>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extent of investor interest in our securities;</w:t>
      </w:r>
    </w:p>
    <w:p>
      <w:pPr>
        <w:spacing w:after="0" w:line="100" w:lineRule="exact"/>
        <w:rPr>
          <w:rFonts w:ascii="Arial" w:cs="Arial" w:eastAsia="Arial" w:hAnsi="Arial"/>
          <w:sz w:val="16"/>
          <w:szCs w:val="16"/>
          <w:color w:val="auto"/>
        </w:rPr>
      </w:pPr>
    </w:p>
    <w:p>
      <w:pPr>
        <w:ind w:left="640" w:right="300" w:hanging="290"/>
        <w:spacing w:after="0" w:line="253" w:lineRule="auto"/>
        <w:tabs>
          <w:tab w:leader="none" w:pos="6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general reputation of REITs and the attractiveness of our equity securities in comparison to other equity securities, including securities issued by other real estate-based companies;</w:t>
      </w:r>
    </w:p>
    <w:p>
      <w:pPr>
        <w:spacing w:after="0" w:line="86" w:lineRule="exact"/>
        <w:rPr>
          <w:rFonts w:ascii="Arial" w:cs="Arial" w:eastAsia="Arial" w:hAnsi="Arial"/>
          <w:sz w:val="16"/>
          <w:szCs w:val="16"/>
          <w:color w:val="auto"/>
        </w:rPr>
      </w:pPr>
    </w:p>
    <w:p>
      <w:pPr>
        <w:ind w:left="640" w:hanging="290"/>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underlying asset value;</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investor confidence in the stock and bond markets, generally;</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national economic conditions;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40" w:hanging="290"/>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tax laws;</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our credit ratings;</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differences between the yields paid on other investments available in the market and BXP’s dividend yield; and</w:t>
      </w:r>
    </w:p>
    <w:p>
      <w:pPr>
        <w:spacing w:after="0" w:line="100" w:lineRule="exact"/>
        <w:rPr>
          <w:rFonts w:ascii="Arial" w:cs="Arial" w:eastAsia="Arial" w:hAnsi="Arial"/>
          <w:sz w:val="16"/>
          <w:szCs w:val="16"/>
          <w:color w:val="auto"/>
        </w:rPr>
      </w:pPr>
    </w:p>
    <w:p>
      <w:pPr>
        <w:ind w:left="640" w:hanging="290"/>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general stock and bond market conditions, including changes in interest rates.</w:t>
      </w:r>
    </w:p>
    <w:p>
      <w:pPr>
        <w:spacing w:after="0" w:line="148"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The market value of BXP’s common stock is based primarily upon the market’s perception of our growth potential and our current and potential future earnings and cash dividends. Consequently, BXP’s common stock may trade at prices that are greater or less than BXP’s net asset value per share of common stock. If our future earnings or cash dividends are less than expected, it is likely that the market price of BXP’s common stock will diminish.</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issuances of equity securities may be dilutive to current securityholders.</w:t>
      </w:r>
    </w:p>
    <w:p>
      <w:pPr>
        <w:spacing w:after="0" w:line="95" w:lineRule="exact"/>
        <w:rPr>
          <w:sz w:val="20"/>
          <w:szCs w:val="20"/>
          <w:color w:val="auto"/>
        </w:rPr>
      </w:pPr>
    </w:p>
    <w:p>
      <w:pPr>
        <w:jc w:val="both"/>
        <w:ind w:right="100" w:firstLine="391"/>
        <w:spacing w:after="0" w:line="250" w:lineRule="auto"/>
        <w:rPr>
          <w:sz w:val="20"/>
          <w:szCs w:val="20"/>
          <w:color w:val="auto"/>
        </w:rPr>
      </w:pPr>
      <w:r>
        <w:rPr>
          <w:rFonts w:ascii="Arial" w:cs="Arial" w:eastAsia="Arial" w:hAnsi="Arial"/>
          <w:sz w:val="16"/>
          <w:szCs w:val="16"/>
          <w:color w:val="auto"/>
        </w:rPr>
        <w:t>The interests of our existing securityholders could be diluted if additional equity securities are issued to finance future developments, acquisitions or repay indebtedness. Our ability to execute our business strategy depends on our access to an appropriate blend of debt financing, including unsecured lines of credit and other forms of secured and unsecured debt, and equity financing, including common and preferred equity.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number of shares available for future sale could adversely affect the market price of BXP’s stock.</w:t>
      </w:r>
    </w:p>
    <w:p>
      <w:pPr>
        <w:spacing w:after="0" w:line="107"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In connection with and subsequent to BXP’s initial public offering, we have completed many private placement transactions in which shares of stock of BXP or partnership interests in BPLP were issued to owners of properties we acquired or to institutional investors. This common stock, or common stock issuable in exchange for such partnership interests in BPLP, may be sold in the public securities markets over time under registration rights we granted to these investors. Additional common stock issuable under our employee benefit and other incentive plans, including as a result of the grant of stock options and restricted equity securities, may also be sold in the market at some time in the future. Future sales of BXP common stock in the market could adversely affect the price of its common stock. We cannot predict the effect the perception in the market that such sales may occur will have on the market price of BXP’s common stock.</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Our involvement in legal proceedings and other claims may result in substantial monetary and other costs that have a material adverse effect on our results of operations.</w:t>
      </w:r>
    </w:p>
    <w:p>
      <w:pPr>
        <w:spacing w:after="0" w:line="5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From time to time, we are involved in legal proceedings and other claims. We may also be named as defendants in lawsuits allegedly arising out of our actions or the actions of our vendors, contractors, clients or other contractual parties in which such parties have agreed to indemnify, defend and hold us harmless from and against various claims, litigation and liabilities arising in connection with their respective businesses and/or added as an additional insured under certain insurance policies. An unfavorable resolution of any legal proceeding or other claim could have a material adverse effect on our financial condition or results from operations. Regardless of its outcome, legal proceedings and other claims may result in substantial costs and expenses and significantly divert the attention of our management. With respect to any legal proceeding or other claim, there can be no assurance that we will be able to prevail, or achieve a favorable settlement or outcome, or that our insurance or the insurance and/or any contractual indemnities of our vendors, contractors, clients or other contractual parties will be enough to cover all of our defense costs or any resulting liabilities.</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b w:val="1"/>
          <w:bCs w:val="1"/>
          <w:i w:val="1"/>
          <w:iCs w:val="1"/>
          <w:color w:val="auto"/>
        </w:rPr>
        <w:t>We face risks associated with security breaches through cyber attacks, cyber intrusions or otherwise, as well as other significant disruptions of our information technology (IT) networks and related systems.</w:t>
      </w:r>
    </w:p>
    <w:p>
      <w:pPr>
        <w:spacing w:after="0" w:line="44" w:lineRule="exact"/>
        <w:rPr>
          <w:sz w:val="20"/>
          <w:szCs w:val="20"/>
          <w:color w:val="auto"/>
        </w:rPr>
      </w:pPr>
    </w:p>
    <w:p>
      <w:pPr>
        <w:ind w:right="220" w:firstLine="391"/>
        <w:spacing w:after="0" w:line="248" w:lineRule="auto"/>
        <w:rPr>
          <w:sz w:val="20"/>
          <w:szCs w:val="20"/>
          <w:color w:val="auto"/>
        </w:rPr>
      </w:pPr>
      <w:r>
        <w:rPr>
          <w:rFonts w:ascii="Arial" w:cs="Arial" w:eastAsia="Arial" w:hAnsi="Arial"/>
          <w:sz w:val="16"/>
          <w:szCs w:val="16"/>
          <w:color w:val="auto"/>
        </w:rPr>
        <w:t>We face risks associated with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(including managing our building systems) and, in some cases, may be critical to the operations of certain of our clients.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91"/>
        <w:spacing w:after="0" w:line="271" w:lineRule="auto"/>
        <w:rPr>
          <w:sz w:val="20"/>
          <w:szCs w:val="20"/>
          <w:color w:val="auto"/>
        </w:rPr>
      </w:pPr>
      <w:r>
        <w:rPr>
          <w:rFonts w:ascii="Arial" w:cs="Arial" w:eastAsia="Arial" w:hAnsi="Arial"/>
          <w:sz w:val="15"/>
          <w:szCs w:val="15"/>
          <w:color w:val="auto"/>
        </w:rPr>
        <w:t>The Audit Committee of BXP’s Board of Directors oversees our risk management processes related to cybersecurity. It meets no less frequently than annually with our IT personnel and senior management to discuss recent trends in cyber risks and our strategy to defend our IT networks, business systems and information against cyber attacks and intrusions. Under the oversight of the Audit Committee, we established our overall cybersecurity program and its standards by reference to the National Institute of Standards and Technology (“NIST”) Cyber Security Framework. As part of our overall cybersecurity program:</w:t>
      </w:r>
    </w:p>
    <w:p>
      <w:pPr>
        <w:spacing w:after="0" w:line="110" w:lineRule="exact"/>
        <w:rPr>
          <w:sz w:val="20"/>
          <w:szCs w:val="20"/>
          <w:color w:val="auto"/>
        </w:rPr>
      </w:pPr>
    </w:p>
    <w:p>
      <w:pPr>
        <w:ind w:left="640" w:right="20" w:hanging="290"/>
        <w:spacing w:after="0" w:line="253"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have implemented a continuous improvement methodology including, but not limited to, ongoing enhancements to processes and controls, quarterly control reviews, annual policy reviews, biannual penetration tests and annual investments in our security infrastructure;</w:t>
      </w:r>
    </w:p>
    <w:p>
      <w:pPr>
        <w:spacing w:after="0" w:line="109" w:lineRule="exact"/>
        <w:rPr>
          <w:rFonts w:ascii="Arial" w:cs="Arial" w:eastAsia="Arial" w:hAnsi="Arial"/>
          <w:sz w:val="16"/>
          <w:szCs w:val="16"/>
          <w:color w:val="auto"/>
        </w:rPr>
      </w:pPr>
    </w:p>
    <w:p>
      <w:pPr>
        <w:ind w:left="640" w:right="760" w:hanging="290"/>
        <w:spacing w:after="0" w:line="253"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annually assess our cybersecurity program against the NIST framework and periodically engage an outside consulting firm to conduct the assessment; and</w:t>
      </w:r>
    </w:p>
    <w:p>
      <w:pPr>
        <w:spacing w:after="0" w:line="121" w:lineRule="exact"/>
        <w:rPr>
          <w:rFonts w:ascii="Arial" w:cs="Arial" w:eastAsia="Arial" w:hAnsi="Arial"/>
          <w:sz w:val="16"/>
          <w:szCs w:val="16"/>
          <w:color w:val="auto"/>
        </w:rPr>
      </w:pPr>
    </w:p>
    <w:p>
      <w:pPr>
        <w:ind w:left="640" w:right="240" w:hanging="290"/>
        <w:spacing w:after="0" w:line="253"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conduct cybersecurity awareness training at least three times per year for our employees and primary on-site providers, and we conduct ongoing phishing simulations to raise awareness of spoofed or manipulated electronic communications and other critical security threats.</w:t>
      </w:r>
    </w:p>
    <w:p>
      <w:pPr>
        <w:spacing w:after="0" w:line="134" w:lineRule="exact"/>
        <w:rPr>
          <w:sz w:val="20"/>
          <w:szCs w:val="20"/>
          <w:color w:val="auto"/>
        </w:rPr>
      </w:pPr>
    </w:p>
    <w:p>
      <w:pPr>
        <w:ind w:right="180" w:firstLine="391"/>
        <w:spacing w:after="0" w:line="248" w:lineRule="auto"/>
        <w:rPr>
          <w:sz w:val="20"/>
          <w:szCs w:val="20"/>
          <w:color w:val="auto"/>
        </w:rPr>
      </w:pPr>
      <w:r>
        <w:rPr>
          <w:rFonts w:ascii="Arial" w:cs="Arial" w:eastAsia="Arial" w:hAnsi="Arial"/>
          <w:sz w:val="16"/>
          <w:szCs w:val="16"/>
          <w:color w:val="auto"/>
        </w:rPr>
        <w:t>Although we make efforts to maintain the security and integrity of our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the techniques used in such attempted security breaches evolve and generally are not recognized until launched against a target, and in some cases, are designed not be detected and, in fact, may not be detected. Accordingly, we may be unable to anticipate these techniques or to implement adequate security barriers or other preventative measures, and thus it is impossible for us to entirely mitigate this risk.</w:t>
      </w:r>
    </w:p>
    <w:p>
      <w:pPr>
        <w:spacing w:after="0" w:line="139"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Like other businesses, we have been, and expect to continue to be, subject to attempts at unauthorized access, mishandling or misuse, computer viruses or malware, cyber attacks and intrusions and other events of varying degrees. To date, these events have not adversely affected our operations or business and have not been material, either individually or in the aggregate. However, a security breach or other significant disruption involving our IT networks and related systems could:</w:t>
      </w:r>
    </w:p>
    <w:p>
      <w:pPr>
        <w:spacing w:after="0" w:line="125" w:lineRule="exact"/>
        <w:rPr>
          <w:sz w:val="20"/>
          <w:szCs w:val="20"/>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disrupt the proper functioning of our networks and systems and therefore our operations and/or those of certain of our clients;</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result in misstated financial reports, violations of loan covenants, missed reporting deadlines and/or missed permitting deadlines;</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result in our inability to properly monitor our compliance with the rules and regulations regarding BXP’s qualification as a REIT;</w:t>
      </w:r>
    </w:p>
    <w:p>
      <w:pPr>
        <w:spacing w:after="0" w:line="135" w:lineRule="exact"/>
        <w:rPr>
          <w:rFonts w:ascii="Arial" w:cs="Arial" w:eastAsia="Arial" w:hAnsi="Arial"/>
          <w:sz w:val="16"/>
          <w:szCs w:val="16"/>
          <w:color w:val="auto"/>
        </w:rPr>
      </w:pPr>
    </w:p>
    <w:p>
      <w:pPr>
        <w:ind w:left="640" w:right="40" w:hanging="290"/>
        <w:spacing w:after="0" w:line="250" w:lineRule="auto"/>
        <w:tabs>
          <w:tab w:leader="none" w:pos="6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result in the unauthorized access to, and destruction, loss, theft, misappropriation or release of, proprietary, confidential, sensitive or otherwise valuable information of ours or others, which others could use to compete against us or which could expose us to damage claims by third-parties for disruptive, destructive or otherwise harmful purposes and outcomes;</w:t>
      </w:r>
    </w:p>
    <w:p>
      <w:pPr>
        <w:spacing w:after="0" w:line="112"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result in our inability to maintain the building systems relied upon by our clients for the efficient use of their leased space;</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require significant management attention and resources to remedy any damages that result;</w:t>
      </w:r>
    </w:p>
    <w:p>
      <w:pPr>
        <w:spacing w:after="0" w:line="135"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subject us to claims for breach of contract, damages, credits, penalties or termination of leases or other agreements; and</w:t>
      </w:r>
    </w:p>
    <w:p>
      <w:pPr>
        <w:spacing w:after="0" w:line="124" w:lineRule="exact"/>
        <w:rPr>
          <w:rFonts w:ascii="Arial" w:cs="Arial" w:eastAsia="Arial" w:hAnsi="Arial"/>
          <w:sz w:val="16"/>
          <w:szCs w:val="16"/>
          <w:color w:val="auto"/>
        </w:rPr>
      </w:pPr>
    </w:p>
    <w:p>
      <w:pPr>
        <w:ind w:left="640" w:hanging="290"/>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damage our reputation among our clients and investors generally.</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one or more of the foregoing could have a material adverse effect on our results of operations, financial condition and cash flows.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accounting pronouncements could adversely affect our operating results, in addition to the reported financial performance of our clients.</w:t>
      </w:r>
    </w:p>
    <w:p>
      <w:pPr>
        <w:spacing w:after="0" w:line="106"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Accounting policies and methods are fundamental to how we record and report our financial condition and results of operations. Uncertainties posed by various initiatives of accounting standard-setting by the Financial Accounting Standards Board and the Securities and Exchange Commission, which create and interpret applicable accounting standards for U.S. companies, may change the financial accounting and reporting standards or their interpretation and application of these standards that govern the preparation of our financial statements. Changes include, but are not limited to, changes in revenue recognition, lease accounting and the adoption of accounting standards likely to require the increased use of “fair-value” measures.</w:t>
      </w:r>
    </w:p>
    <w:p>
      <w:pPr>
        <w:spacing w:after="0" w:line="140" w:lineRule="exact"/>
        <w:rPr>
          <w:sz w:val="20"/>
          <w:szCs w:val="20"/>
          <w:color w:val="auto"/>
        </w:rPr>
      </w:pPr>
    </w:p>
    <w:p>
      <w:pPr>
        <w:ind w:right="160" w:firstLine="391"/>
        <w:spacing w:after="0" w:line="275" w:lineRule="auto"/>
        <w:rPr>
          <w:sz w:val="20"/>
          <w:szCs w:val="20"/>
          <w:color w:val="auto"/>
        </w:rPr>
      </w:pPr>
      <w:r>
        <w:rPr>
          <w:rFonts w:ascii="Arial" w:cs="Arial" w:eastAsia="Arial" w:hAnsi="Arial"/>
          <w:sz w:val="15"/>
          <w:szCs w:val="15"/>
          <w:color w:val="auto"/>
        </w:rPr>
        <w:t>These changes could have a material impact on our reported financial condition and results of operations. In some cases, we could be required to apply a new or revised standard retroactively, resulting in potentially material restatements of prior period financial statements. Similarly, these changes could have a material impact on our clients’ reported financial condition or results of operations or could affect our clients’ preferences regarding leasing real estate.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b w:val="1"/>
          <w:bCs w:val="1"/>
          <w:i w:val="1"/>
          <w:iCs w:val="1"/>
          <w:color w:val="auto"/>
        </w:rPr>
        <w:t>Unresolved Staff Comments.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Properties.</w:t>
      </w:r>
    </w:p>
    <w:p>
      <w:pPr>
        <w:spacing w:after="0" w:line="109" w:lineRule="exact"/>
        <w:rPr>
          <w:sz w:val="20"/>
          <w:szCs w:val="20"/>
          <w:color w:val="auto"/>
        </w:rPr>
      </w:pPr>
    </w:p>
    <w:p>
      <w:pPr>
        <w:ind w:right="220" w:firstLine="391"/>
        <w:spacing w:after="0" w:line="248" w:lineRule="auto"/>
        <w:rPr>
          <w:sz w:val="20"/>
          <w:szCs w:val="20"/>
          <w:color w:val="auto"/>
        </w:rPr>
      </w:pPr>
      <w:r>
        <w:rPr>
          <w:rFonts w:ascii="Arial" w:cs="Arial" w:eastAsia="Arial" w:hAnsi="Arial"/>
          <w:sz w:val="16"/>
          <w:szCs w:val="16"/>
          <w:color w:val="auto"/>
        </w:rPr>
        <w:t>At December 31, 2022, we owned or had joint venture interests in 194 commercial real estate properties, aggregating approximately 54.1 million net rentable square feet of primarily premier workplaces, including 13 properties under construction/redevelopment totaling approximately 3.2 million net rentable square feet. Our properties consisted of (1) 173 office and life sciences properties (including 10 properties under construction/redevelopment), (2) 14 retail properties (including two properties under construction/redevelopment), (3) six residential properties (including one property under construction) and (4) one hotel. The table set forth below shows information relating to the properties we owned, or in which we had an ownership interest, at December 31, 2022, and it includes properties held by both consolidated and unconsolidated joint ventures.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Leased as of December 31, 2022</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0"/>
        </w:trPr>
        <w:tc>
          <w:tcPr>
            <w:tcW w:w="32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vMerge w:val="restart"/>
          </w:tcPr>
          <w:p>
            <w:pPr>
              <w:spacing w:after="0"/>
              <w:rPr>
                <w:sz w:val="11"/>
                <w:szCs w:val="11"/>
                <w:color w:val="auto"/>
              </w:rPr>
            </w:pPr>
          </w:p>
        </w:tc>
        <w:tc>
          <w:tcPr>
            <w:tcW w:w="226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of</w:t>
            </w:r>
          </w:p>
        </w:tc>
        <w:tc>
          <w:tcPr>
            <w:tcW w:w="1760" w:type="dxa"/>
            <w:vAlign w:val="bottom"/>
            <w:gridSpan w:val="2"/>
          </w:tcPr>
          <w:p>
            <w:pPr>
              <w:jc w:val="center"/>
              <w:ind w:right="600"/>
              <w:spacing w:after="0" w:line="131" w:lineRule="exact"/>
              <w:rPr>
                <w:sz w:val="20"/>
                <w:szCs w:val="20"/>
                <w:color w:val="auto"/>
              </w:rPr>
            </w:pPr>
            <w:r>
              <w:rPr>
                <w:rFonts w:ascii="Arial" w:cs="Arial" w:eastAsia="Arial" w:hAnsi="Arial"/>
                <w:sz w:val="13"/>
                <w:szCs w:val="13"/>
                <w:b w:val="1"/>
                <w:bCs w:val="1"/>
                <w:color w:val="auto"/>
                <w:w w:val="94"/>
              </w:rPr>
              <w:t>Rentable</w:t>
            </w: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4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Buildings</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Square Feet</w:t>
            </w:r>
          </w:p>
        </w:tc>
        <w:tc>
          <w:tcPr>
            <w:tcW w:w="6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Office and Life Sciences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 w:type="dxa"/>
            <w:vAlign w:val="bottom"/>
          </w:tcPr>
          <w:p>
            <w:pPr>
              <w:ind w:left="300"/>
              <w:spacing w:after="0" w:line="156" w:lineRule="exact"/>
              <w:rPr>
                <w:sz w:val="20"/>
                <w:szCs w:val="20"/>
                <w:color w:val="auto"/>
              </w:rPr>
            </w:pPr>
            <w:r>
              <w:rPr>
                <w:rFonts w:ascii="Arial" w:cs="Arial" w:eastAsia="Arial" w:hAnsi="Arial"/>
                <w:sz w:val="14"/>
                <w:szCs w:val="14"/>
                <w:color w:val="auto"/>
              </w:rPr>
              <w:t>767</w:t>
            </w:r>
          </w:p>
        </w:tc>
        <w:tc>
          <w:tcPr>
            <w:tcW w:w="276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Fifth Avenue (The GM Building) (60%</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tcPr>
          <w:p>
            <w:pPr>
              <w:jc w:val="right"/>
              <w:spacing w:after="0"/>
              <w:rPr>
                <w:sz w:val="20"/>
                <w:szCs w:val="20"/>
                <w:color w:val="auto"/>
              </w:rPr>
            </w:pPr>
            <w:r>
              <w:rPr>
                <w:rFonts w:ascii="Arial" w:cs="Arial" w:eastAsia="Arial" w:hAnsi="Arial"/>
                <w:sz w:val="14"/>
                <w:szCs w:val="14"/>
                <w:color w:val="auto"/>
              </w:rPr>
              <w:t>86.6 %</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1,965,003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Clarendon Street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1,769,077</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601</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Lexington Avenue (55% 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tcPr>
          <w:p>
            <w:pPr>
              <w:jc w:val="right"/>
              <w:spacing w:after="0"/>
              <w:rPr>
                <w:sz w:val="20"/>
                <w:szCs w:val="20"/>
                <w:color w:val="auto"/>
              </w:rPr>
            </w:pPr>
            <w:r>
              <w:rPr>
                <w:rFonts w:ascii="Arial" w:cs="Arial" w:eastAsia="Arial" w:hAnsi="Arial"/>
                <w:sz w:val="14"/>
                <w:szCs w:val="14"/>
                <w:color w:val="auto"/>
              </w:rPr>
              <w:t>98.9 %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1,670,790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399</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Park Avenue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1,577,544</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Salesforce Tower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1,420,682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Street (55% ownership)</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1,238,821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Times Square Tower (55% 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tcPr>
          <w:p>
            <w:pPr>
              <w:jc w:val="right"/>
              <w:spacing w:after="0"/>
              <w:rPr>
                <w:sz w:val="20"/>
                <w:szCs w:val="20"/>
                <w:color w:val="auto"/>
              </w:rPr>
            </w:pPr>
            <w:r>
              <w:rPr>
                <w:rFonts w:ascii="Arial" w:cs="Arial" w:eastAsia="Arial" w:hAnsi="Arial"/>
                <w:sz w:val="14"/>
                <w:szCs w:val="14"/>
                <w:color w:val="auto"/>
              </w:rPr>
              <w:t>84.8 %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1,225,472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800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Boylston Street - The Prudential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1,197,798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Colorado Center (50% 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Santa Monica, CA</w:t>
            </w:r>
          </w:p>
        </w:tc>
        <w:tc>
          <w:tcPr>
            <w:tcW w:w="2140" w:type="dxa"/>
            <w:vAlign w:val="bottom"/>
          </w:tcPr>
          <w:p>
            <w:pPr>
              <w:jc w:val="right"/>
              <w:spacing w:after="0"/>
              <w:rPr>
                <w:sz w:val="20"/>
                <w:szCs w:val="20"/>
                <w:color w:val="auto"/>
              </w:rPr>
            </w:pPr>
            <w:r>
              <w:rPr>
                <w:rFonts w:ascii="Arial" w:cs="Arial" w:eastAsia="Arial" w:hAnsi="Arial"/>
                <w:sz w:val="14"/>
                <w:szCs w:val="14"/>
                <w:color w:val="auto"/>
              </w:rPr>
              <w:t>89.5 %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1,131,511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gridSpan w:val="3"/>
            <w:shd w:val="clear" w:color="auto" w:fill="CCEEFF"/>
          </w:tcPr>
          <w:p>
            <w:pPr>
              <w:ind w:left="300"/>
              <w:spacing w:after="0" w:line="159" w:lineRule="exact"/>
              <w:rPr>
                <w:sz w:val="20"/>
                <w:szCs w:val="20"/>
                <w:color w:val="auto"/>
              </w:rPr>
            </w:pPr>
            <w:r>
              <w:rPr>
                <w:rFonts w:ascii="Arial" w:cs="Arial" w:eastAsia="Arial" w:hAnsi="Arial"/>
                <w:sz w:val="14"/>
                <w:szCs w:val="14"/>
                <w:color w:val="auto"/>
              </w:rPr>
              <w:t>Santa Monica Business Park (55%</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CA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1,106,399</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599</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Lexington Avenue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tcPr>
          <w:p>
            <w:pPr>
              <w:jc w:val="right"/>
              <w:spacing w:after="0"/>
              <w:rPr>
                <w:sz w:val="20"/>
                <w:szCs w:val="20"/>
                <w:color w:val="auto"/>
              </w:rPr>
            </w:pPr>
            <w:r>
              <w:rPr>
                <w:rFonts w:ascii="Arial" w:cs="Arial" w:eastAsia="Arial" w:hAnsi="Arial"/>
                <w:sz w:val="14"/>
                <w:szCs w:val="14"/>
                <w:color w:val="auto"/>
              </w:rPr>
              <w:t>85.4 %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1,106,351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Reston Next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1,063,236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Bay Colony Corporate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Pr>
          <w:p>
            <w:pPr>
              <w:jc w:val="right"/>
              <w:spacing w:after="0"/>
              <w:rPr>
                <w:sz w:val="20"/>
                <w:szCs w:val="20"/>
                <w:color w:val="auto"/>
              </w:rPr>
            </w:pPr>
            <w:r>
              <w:rPr>
                <w:rFonts w:ascii="Arial" w:cs="Arial" w:eastAsia="Arial" w:hAnsi="Arial"/>
                <w:sz w:val="14"/>
                <w:szCs w:val="14"/>
                <w:color w:val="auto"/>
              </w:rPr>
              <w:t>62.8 %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989,548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250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 55th Street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966,979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Embarcadero Center Four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40" w:type="dxa"/>
            <w:vAlign w:val="bottom"/>
          </w:tcPr>
          <w:p>
            <w:pPr>
              <w:jc w:val="right"/>
              <w:spacing w:after="0"/>
              <w:rPr>
                <w:sz w:val="20"/>
                <w:szCs w:val="20"/>
                <w:color w:val="auto"/>
              </w:rPr>
            </w:pPr>
            <w:r>
              <w:rPr>
                <w:rFonts w:ascii="Arial" w:cs="Arial" w:eastAsia="Arial" w:hAnsi="Arial"/>
                <w:sz w:val="14"/>
                <w:szCs w:val="14"/>
                <w:color w:val="auto"/>
              </w:rPr>
              <w:t>93.7 %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941,205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Leased as of December 31, 2022</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Number</w:t>
            </w: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0"/>
        </w:trPr>
        <w:tc>
          <w:tcPr>
            <w:tcW w:w="32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vMerge w:val="restart"/>
          </w:tcPr>
          <w:p>
            <w:pPr>
              <w:spacing w:after="0"/>
              <w:rPr>
                <w:sz w:val="11"/>
                <w:szCs w:val="11"/>
                <w:color w:val="auto"/>
              </w:rPr>
            </w:pPr>
          </w:p>
        </w:tc>
        <w:tc>
          <w:tcPr>
            <w:tcW w:w="228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of</w:t>
            </w:r>
          </w:p>
        </w:tc>
        <w:tc>
          <w:tcPr>
            <w:tcW w:w="1740" w:type="dxa"/>
            <w:vAlign w:val="bottom"/>
            <w:gridSpan w:val="2"/>
          </w:tcPr>
          <w:p>
            <w:pPr>
              <w:jc w:val="center"/>
              <w:ind w:right="600"/>
              <w:spacing w:after="0" w:line="131" w:lineRule="exact"/>
              <w:rPr>
                <w:sz w:val="20"/>
                <w:szCs w:val="20"/>
                <w:color w:val="auto"/>
              </w:rPr>
            </w:pPr>
            <w:r>
              <w:rPr>
                <w:rFonts w:ascii="Arial" w:cs="Arial" w:eastAsia="Arial" w:hAnsi="Arial"/>
                <w:sz w:val="13"/>
                <w:szCs w:val="13"/>
                <w:b w:val="1"/>
                <w:bCs w:val="1"/>
                <w:color w:val="auto"/>
                <w:w w:val="98"/>
              </w:rPr>
              <w:t>Rentable</w:t>
            </w: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auto"/>
            </w:tcBorders>
          </w:tcPr>
          <w:p>
            <w:pPr>
              <w:jc w:val="right"/>
              <w:ind w:right="909"/>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Buildings</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Square Feet</w:t>
            </w:r>
          </w:p>
        </w:tc>
        <w:tc>
          <w:tcPr>
            <w:tcW w:w="5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111</w:t>
            </w:r>
          </w:p>
        </w:tc>
        <w:tc>
          <w:tcPr>
            <w:tcW w:w="276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Huntington Avenue - The Prudential</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6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860,446</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200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Fifth Avenue (26.69% ownership) (2)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20" w:type="dxa"/>
            <w:vAlign w:val="bottom"/>
          </w:tcPr>
          <w:p>
            <w:pPr>
              <w:jc w:val="right"/>
              <w:spacing w:after="0"/>
              <w:rPr>
                <w:sz w:val="20"/>
                <w:szCs w:val="20"/>
                <w:color w:val="auto"/>
              </w:rPr>
            </w:pPr>
            <w:r>
              <w:rPr>
                <w:rFonts w:ascii="Arial" w:cs="Arial" w:eastAsia="Arial" w:hAnsi="Arial"/>
                <w:sz w:val="14"/>
                <w:szCs w:val="14"/>
                <w:color w:val="auto"/>
              </w:rPr>
              <w:t>92.5 %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854,737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Embarcadero Center One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837,309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Embarcadero Center Two</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20" w:type="dxa"/>
            <w:vAlign w:val="bottom"/>
          </w:tcPr>
          <w:p>
            <w:pPr>
              <w:jc w:val="right"/>
              <w:spacing w:after="0"/>
              <w:rPr>
                <w:sz w:val="20"/>
                <w:szCs w:val="20"/>
                <w:color w:val="auto"/>
              </w:rPr>
            </w:pPr>
            <w:r>
              <w:rPr>
                <w:rFonts w:ascii="Arial" w:cs="Arial" w:eastAsia="Arial" w:hAnsi="Arial"/>
                <w:sz w:val="14"/>
                <w:szCs w:val="14"/>
                <w:color w:val="auto"/>
              </w:rPr>
              <w:t>86.3 %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802,472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Atlantic Wharf Office (55% ownership)</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793,769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Gateway Commons (50% Ownership) (2)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South San Francisco, CA</w:t>
            </w:r>
          </w:p>
        </w:tc>
        <w:tc>
          <w:tcPr>
            <w:tcW w:w="2120" w:type="dxa"/>
            <w:vAlign w:val="bottom"/>
          </w:tcPr>
          <w:p>
            <w:pPr>
              <w:jc w:val="right"/>
              <w:spacing w:after="0"/>
              <w:rPr>
                <w:sz w:val="20"/>
                <w:szCs w:val="20"/>
                <w:color w:val="auto"/>
              </w:rPr>
            </w:pPr>
            <w:r>
              <w:rPr>
                <w:rFonts w:ascii="Arial" w:cs="Arial" w:eastAsia="Arial" w:hAnsi="Arial"/>
                <w:sz w:val="14"/>
                <w:szCs w:val="14"/>
                <w:color w:val="auto"/>
              </w:rPr>
              <w:t>89.7 %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787,846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Embarcadero Center Three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787,377</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Safeco Plaza (33.67% ownership) (2)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Seattle, WA</w:t>
            </w:r>
          </w:p>
        </w:tc>
        <w:tc>
          <w:tcPr>
            <w:tcW w:w="2120" w:type="dxa"/>
            <w:vAlign w:val="bottom"/>
          </w:tcPr>
          <w:p>
            <w:pPr>
              <w:jc w:val="right"/>
              <w:spacing w:after="0"/>
              <w:rPr>
                <w:sz w:val="20"/>
                <w:szCs w:val="20"/>
                <w:color w:val="auto"/>
              </w:rPr>
            </w:pPr>
            <w:r>
              <w:rPr>
                <w:rFonts w:ascii="Arial" w:cs="Arial" w:eastAsia="Arial" w:hAnsi="Arial"/>
                <w:sz w:val="14"/>
                <w:szCs w:val="14"/>
                <w:color w:val="auto"/>
              </w:rPr>
              <w:t>83.6 %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778,116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Madison Centre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Seattle, WA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754,988</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7750 Wisconsin Avenue (50% ownership) (2)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Bethesda, MD</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735,573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Dock 72 (50% ownership) (2)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Brooklyn, NY</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668,625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Metropolitan Square (20% ownership) (2)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20" w:type="dxa"/>
            <w:vAlign w:val="bottom"/>
          </w:tcPr>
          <w:p>
            <w:pPr>
              <w:jc w:val="right"/>
              <w:spacing w:after="0"/>
              <w:rPr>
                <w:sz w:val="20"/>
                <w:szCs w:val="20"/>
                <w:color w:val="auto"/>
              </w:rPr>
            </w:pPr>
            <w:r>
              <w:rPr>
                <w:rFonts w:ascii="Arial" w:cs="Arial" w:eastAsia="Arial" w:hAnsi="Arial"/>
                <w:sz w:val="14"/>
                <w:szCs w:val="14"/>
                <w:color w:val="auto"/>
              </w:rPr>
              <w:t>85.7 %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657,580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Causeway Street (50% ownership) (2)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633,819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South of Market</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Pr>
          <w:p>
            <w:pPr>
              <w:jc w:val="right"/>
              <w:spacing w:after="0"/>
              <w:rPr>
                <w:sz w:val="20"/>
                <w:szCs w:val="20"/>
                <w:color w:val="auto"/>
              </w:rPr>
            </w:pPr>
            <w:r>
              <w:rPr>
                <w:rFonts w:ascii="Arial" w:cs="Arial" w:eastAsia="Arial" w:hAnsi="Arial"/>
                <w:sz w:val="14"/>
                <w:szCs w:val="14"/>
                <w:color w:val="auto"/>
              </w:rPr>
              <w:t>99.6 %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623,250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901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Avenue (25% ownership) (2)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544,256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Mountain View Research Park</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Mountain View, CA</w:t>
            </w:r>
          </w:p>
        </w:tc>
        <w:tc>
          <w:tcPr>
            <w:tcW w:w="2120" w:type="dxa"/>
            <w:vAlign w:val="bottom"/>
          </w:tcPr>
          <w:p>
            <w:pPr>
              <w:jc w:val="right"/>
              <w:spacing w:after="0"/>
              <w:rPr>
                <w:sz w:val="20"/>
                <w:szCs w:val="20"/>
                <w:color w:val="auto"/>
              </w:rPr>
            </w:pPr>
            <w:r>
              <w:rPr>
                <w:rFonts w:ascii="Arial" w:cs="Arial" w:eastAsia="Arial" w:hAnsi="Arial"/>
                <w:sz w:val="14"/>
                <w:szCs w:val="14"/>
                <w:color w:val="auto"/>
              </w:rPr>
              <w:t>79.2 %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542,264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Reservoir Place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527,029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680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Folsom Street</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20" w:type="dxa"/>
            <w:vAlign w:val="bottom"/>
          </w:tcPr>
          <w:p>
            <w:pPr>
              <w:jc w:val="right"/>
              <w:spacing w:after="0"/>
              <w:rPr>
                <w:sz w:val="20"/>
                <w:szCs w:val="20"/>
                <w:color w:val="auto"/>
              </w:rPr>
            </w:pPr>
            <w:r>
              <w:rPr>
                <w:rFonts w:ascii="Arial" w:cs="Arial" w:eastAsia="Arial" w:hAnsi="Arial"/>
                <w:sz w:val="14"/>
                <w:szCs w:val="14"/>
                <w:color w:val="auto"/>
              </w:rPr>
              <w:t>98.7 %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524,793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Fountain Square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524,785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Pr>
          <w:p>
            <w:pPr>
              <w:ind w:left="300"/>
              <w:spacing w:after="0" w:line="156" w:lineRule="exact"/>
              <w:rPr>
                <w:sz w:val="20"/>
                <w:szCs w:val="20"/>
                <w:color w:val="auto"/>
              </w:rPr>
            </w:pPr>
            <w:r>
              <w:rPr>
                <w:rFonts w:ascii="Arial" w:cs="Arial" w:eastAsia="Arial" w:hAnsi="Arial"/>
                <w:sz w:val="14"/>
                <w:szCs w:val="14"/>
                <w:color w:val="auto"/>
              </w:rPr>
              <w:t>101</w:t>
            </w:r>
          </w:p>
        </w:tc>
        <w:tc>
          <w:tcPr>
            <w:tcW w:w="276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Huntington Avenue - The Prudential</w:t>
            </w: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Center</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tcPr>
          <w:p>
            <w:pPr>
              <w:jc w:val="right"/>
              <w:spacing w:after="0"/>
              <w:rPr>
                <w:sz w:val="20"/>
                <w:szCs w:val="20"/>
                <w:color w:val="auto"/>
              </w:rPr>
            </w:pPr>
            <w:r>
              <w:rPr>
                <w:rFonts w:ascii="Arial" w:cs="Arial" w:eastAsia="Arial" w:hAnsi="Arial"/>
                <w:sz w:val="14"/>
                <w:szCs w:val="14"/>
                <w:color w:val="auto"/>
              </w:rPr>
              <w:t>99.2 %</w:t>
            </w:r>
          </w:p>
        </w:tc>
        <w:tc>
          <w:tcPr>
            <w:tcW w:w="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506,476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145</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490,086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2200 Pennsylvania Avenue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20" w:type="dxa"/>
            <w:vAlign w:val="bottom"/>
          </w:tcPr>
          <w:p>
            <w:pPr>
              <w:jc w:val="right"/>
              <w:spacing w:after="0"/>
              <w:rPr>
                <w:sz w:val="20"/>
                <w:szCs w:val="20"/>
                <w:color w:val="auto"/>
              </w:rPr>
            </w:pPr>
            <w:r>
              <w:rPr>
                <w:rFonts w:ascii="Arial" w:cs="Arial" w:eastAsia="Arial" w:hAnsi="Arial"/>
                <w:sz w:val="14"/>
                <w:szCs w:val="14"/>
                <w:color w:val="auto"/>
              </w:rPr>
              <w:t>93.6 %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459,745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One Freedom Square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427,956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Two Freedom Square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423,222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Market Square North (50% ownership) (2)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418,539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325</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Main Street</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20" w:type="dxa"/>
            <w:vAlign w:val="bottom"/>
          </w:tcPr>
          <w:p>
            <w:pPr>
              <w:jc w:val="right"/>
              <w:spacing w:after="0"/>
              <w:rPr>
                <w:sz w:val="20"/>
                <w:szCs w:val="20"/>
                <w:color w:val="auto"/>
              </w:rPr>
            </w:pPr>
            <w:r>
              <w:rPr>
                <w:rFonts w:ascii="Arial" w:cs="Arial" w:eastAsia="Arial" w:hAnsi="Arial"/>
                <w:sz w:val="14"/>
                <w:szCs w:val="14"/>
                <w:color w:val="auto"/>
              </w:rPr>
              <w:t>91.6 %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414,008</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gridSpan w:val="3"/>
            <w:shd w:val="clear" w:color="auto" w:fill="CCEEFF"/>
          </w:tcPr>
          <w:p>
            <w:pPr>
              <w:ind w:left="300"/>
              <w:spacing w:after="0" w:line="159" w:lineRule="exact"/>
              <w:rPr>
                <w:sz w:val="20"/>
                <w:szCs w:val="20"/>
                <w:color w:val="auto"/>
              </w:rPr>
            </w:pPr>
            <w:r>
              <w:rPr>
                <w:rFonts w:ascii="Arial" w:cs="Arial" w:eastAsia="Arial" w:hAnsi="Arial"/>
                <w:sz w:val="14"/>
                <w:szCs w:val="14"/>
                <w:color w:val="auto"/>
              </w:rPr>
              <w:t>The Hub on Causeway - Podium (50%</w:t>
            </w:r>
          </w:p>
        </w:tc>
        <w:tc>
          <w:tcPr>
            <w:tcW w:w="2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ownership) (2)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75.3 %</w:t>
            </w:r>
          </w:p>
        </w:tc>
        <w:tc>
          <w:tcPr>
            <w:tcW w:w="6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382,497</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One and Two Discovery Square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Pr>
          <w:p>
            <w:pPr>
              <w:jc w:val="right"/>
              <w:spacing w:after="0"/>
              <w:rPr>
                <w:sz w:val="20"/>
                <w:szCs w:val="20"/>
                <w:color w:val="auto"/>
              </w:rPr>
            </w:pPr>
            <w:r>
              <w:rPr>
                <w:rFonts w:ascii="Arial" w:cs="Arial" w:eastAsia="Arial" w:hAnsi="Arial"/>
                <w:sz w:val="14"/>
                <w:szCs w:val="14"/>
                <w:color w:val="auto"/>
              </w:rPr>
              <w:t>99.0 %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366,989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888</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Boylston Street - The Prudential Center</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363,320</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Weston Corporate Center</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Weston, MA</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356,995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510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Madison Avenue</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355,089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One Reston Overlook</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Pr>
          <w:p>
            <w:pPr>
              <w:jc w:val="right"/>
              <w:spacing w:after="0"/>
              <w:rPr>
                <w:sz w:val="20"/>
                <w:szCs w:val="20"/>
                <w:color w:val="auto"/>
              </w:rPr>
            </w:pPr>
            <w:r>
              <w:rPr>
                <w:rFonts w:ascii="Arial" w:cs="Arial" w:eastAsia="Arial" w:hAnsi="Arial"/>
                <w:sz w:val="14"/>
                <w:szCs w:val="14"/>
                <w:color w:val="auto"/>
              </w:rPr>
              <w:t>89.0 %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319,519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535</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Mission Street</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307,235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140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Kendrick Street (3)</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Needham, MA</w:t>
            </w:r>
          </w:p>
        </w:tc>
        <w:tc>
          <w:tcPr>
            <w:tcW w:w="2120" w:type="dxa"/>
            <w:vAlign w:val="bottom"/>
          </w:tcPr>
          <w:p>
            <w:pPr>
              <w:jc w:val="right"/>
              <w:spacing w:after="0"/>
              <w:rPr>
                <w:sz w:val="20"/>
                <w:szCs w:val="20"/>
                <w:color w:val="auto"/>
              </w:rPr>
            </w:pPr>
            <w:r>
              <w:rPr>
                <w:rFonts w:ascii="Arial" w:cs="Arial" w:eastAsia="Arial" w:hAnsi="Arial"/>
                <w:sz w:val="14"/>
                <w:szCs w:val="14"/>
                <w:color w:val="auto"/>
              </w:rPr>
              <w:t>85.9 %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306,323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Waltham Weston Corporate Center</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301,611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Wisconsin Place Office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Chevy Chase, MD</w:t>
            </w:r>
          </w:p>
        </w:tc>
        <w:tc>
          <w:tcPr>
            <w:tcW w:w="2120" w:type="dxa"/>
            <w:vAlign w:val="bottom"/>
          </w:tcPr>
          <w:p>
            <w:pPr>
              <w:jc w:val="right"/>
              <w:spacing w:after="0"/>
              <w:rPr>
                <w:sz w:val="20"/>
                <w:szCs w:val="20"/>
                <w:color w:val="auto"/>
              </w:rPr>
            </w:pPr>
            <w:r>
              <w:rPr>
                <w:rFonts w:ascii="Arial" w:cs="Arial" w:eastAsia="Arial" w:hAnsi="Arial"/>
                <w:sz w:val="14"/>
                <w:szCs w:val="14"/>
                <w:color w:val="auto"/>
              </w:rPr>
              <w:t>88.9 %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299,428</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230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296,720</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17Fifty Presidents Street</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275,809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Leased as of December 31, 2022</w:t>
            </w:r>
          </w:p>
        </w:tc>
        <w:tc>
          <w:tcPr>
            <w:tcW w:w="740" w:type="dxa"/>
            <w:vAlign w:val="bottom"/>
          </w:tcPr>
          <w:p>
            <w:pPr>
              <w:jc w:val="center"/>
              <w:ind w:left="77"/>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0"/>
        </w:trPr>
        <w:tc>
          <w:tcPr>
            <w:tcW w:w="32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vMerge w:val="restart"/>
          </w:tcPr>
          <w:p>
            <w:pPr>
              <w:spacing w:after="0"/>
              <w:rPr>
                <w:sz w:val="11"/>
                <w:szCs w:val="11"/>
                <w:color w:val="auto"/>
              </w:rPr>
            </w:pPr>
          </w:p>
        </w:tc>
        <w:tc>
          <w:tcPr>
            <w:tcW w:w="226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740" w:type="dxa"/>
            <w:vAlign w:val="bottom"/>
          </w:tcPr>
          <w:p>
            <w:pPr>
              <w:jc w:val="center"/>
              <w:ind w:left="77"/>
              <w:spacing w:after="0" w:line="131" w:lineRule="exact"/>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600"/>
              <w:spacing w:after="0" w:line="131" w:lineRule="exact"/>
              <w:rPr>
                <w:sz w:val="20"/>
                <w:szCs w:val="20"/>
                <w:color w:val="auto"/>
              </w:rPr>
            </w:pPr>
            <w:r>
              <w:rPr>
                <w:rFonts w:ascii="Arial" w:cs="Arial" w:eastAsia="Arial" w:hAnsi="Arial"/>
                <w:sz w:val="13"/>
                <w:szCs w:val="13"/>
                <w:b w:val="1"/>
                <w:bCs w:val="1"/>
                <w:color w:val="auto"/>
                <w:w w:val="94"/>
              </w:rPr>
              <w:t>Rentable</w:t>
            </w: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40" w:type="dxa"/>
            <w:vAlign w:val="bottom"/>
            <w:tcBorders>
              <w:bottom w:val="single" w:sz="8" w:color="auto"/>
            </w:tcBorders>
          </w:tcPr>
          <w:p>
            <w:pPr>
              <w:jc w:val="right"/>
              <w:ind w:right="929"/>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97"/>
              </w:rPr>
              <w:t>Buildings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Square Feet</w:t>
            </w:r>
          </w:p>
        </w:tc>
        <w:tc>
          <w:tcPr>
            <w:tcW w:w="6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 Street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83.9 %</w:t>
            </w: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273,365</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125</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Broadway</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Reston Corporate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261,046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355</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Main Street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99.3 %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259,640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Democracy Tower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259,441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1330 Connecticut Avenue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40" w:type="dxa"/>
            <w:vAlign w:val="bottom"/>
          </w:tcPr>
          <w:p>
            <w:pPr>
              <w:jc w:val="right"/>
              <w:spacing w:after="0"/>
              <w:rPr>
                <w:sz w:val="20"/>
                <w:szCs w:val="20"/>
                <w:color w:val="auto"/>
              </w:rPr>
            </w:pPr>
            <w:r>
              <w:rPr>
                <w:rFonts w:ascii="Arial" w:cs="Arial" w:eastAsia="Arial" w:hAnsi="Arial"/>
                <w:sz w:val="14"/>
                <w:szCs w:val="14"/>
                <w:color w:val="auto"/>
              </w:rPr>
              <w:t>94.6 %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253,579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880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243,618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10 CityPoint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Pr>
          <w:p>
            <w:pPr>
              <w:jc w:val="right"/>
              <w:spacing w:after="0"/>
              <w:rPr>
                <w:sz w:val="20"/>
                <w:szCs w:val="20"/>
                <w:color w:val="auto"/>
              </w:rPr>
            </w:pPr>
            <w:r>
              <w:rPr>
                <w:rFonts w:ascii="Arial" w:cs="Arial" w:eastAsia="Arial" w:hAnsi="Arial"/>
                <w:sz w:val="14"/>
                <w:szCs w:val="14"/>
                <w:color w:val="auto"/>
              </w:rPr>
              <w:t>95.8 %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236,570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510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234,160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Pr>
          <w:p>
            <w:pPr>
              <w:ind w:left="300"/>
              <w:spacing w:after="0" w:line="156" w:lineRule="exact"/>
              <w:rPr>
                <w:sz w:val="20"/>
                <w:szCs w:val="20"/>
                <w:color w:val="auto"/>
              </w:rPr>
            </w:pPr>
            <w:r>
              <w:rPr>
                <w:rFonts w:ascii="Arial" w:cs="Arial" w:eastAsia="Arial" w:hAnsi="Arial"/>
                <w:sz w:val="14"/>
                <w:szCs w:val="14"/>
                <w:color w:val="auto"/>
              </w:rPr>
              <w:t>500</w:t>
            </w:r>
          </w:p>
        </w:tc>
        <w:tc>
          <w:tcPr>
            <w:tcW w:w="276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North Capitol Street, N.W. (30%</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40" w:type="dxa"/>
            <w:vAlign w:val="bottom"/>
          </w:tcPr>
          <w:p>
            <w:pPr>
              <w:jc w:val="right"/>
              <w:spacing w:after="0"/>
              <w:rPr>
                <w:sz w:val="20"/>
                <w:szCs w:val="20"/>
                <w:color w:val="auto"/>
              </w:rPr>
            </w:pPr>
            <w:r>
              <w:rPr>
                <w:rFonts w:ascii="Arial" w:cs="Arial" w:eastAsia="Arial" w:hAnsi="Arial"/>
                <w:sz w:val="14"/>
                <w:szCs w:val="14"/>
                <w:color w:val="auto"/>
              </w:rPr>
              <w:t>98.5 %</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230,900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90 Broadway</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223,771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255</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Main Street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97.5 %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215,394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20 CityPoint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211,476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77 CityPoint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Pr>
          <w:p>
            <w:pPr>
              <w:jc w:val="right"/>
              <w:spacing w:after="0"/>
              <w:rPr>
                <w:sz w:val="20"/>
                <w:szCs w:val="20"/>
                <w:color w:val="auto"/>
              </w:rPr>
            </w:pPr>
            <w:r>
              <w:rPr>
                <w:rFonts w:ascii="Arial" w:cs="Arial" w:eastAsia="Arial" w:hAnsi="Arial"/>
                <w:sz w:val="14"/>
                <w:szCs w:val="14"/>
                <w:color w:val="auto"/>
              </w:rPr>
              <w:t>98.3 %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209,711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Sumner Square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209,556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University Place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195,282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300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Binney Street (4)</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195,191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North First Business Park (5)</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Jose, CA</w:t>
            </w:r>
          </w:p>
        </w:tc>
        <w:tc>
          <w:tcPr>
            <w:tcW w:w="2140" w:type="dxa"/>
            <w:vAlign w:val="bottom"/>
          </w:tcPr>
          <w:p>
            <w:pPr>
              <w:jc w:val="right"/>
              <w:spacing w:after="0"/>
              <w:rPr>
                <w:sz w:val="20"/>
                <w:szCs w:val="20"/>
                <w:color w:val="auto"/>
              </w:rPr>
            </w:pPr>
            <w:r>
              <w:rPr>
                <w:rFonts w:ascii="Arial" w:cs="Arial" w:eastAsia="Arial" w:hAnsi="Arial"/>
                <w:sz w:val="14"/>
                <w:szCs w:val="14"/>
                <w:color w:val="auto"/>
              </w:rPr>
              <w:t>87.6 %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190,636</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Shady Grove Innovation District (6)</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Rockville, MD</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182,290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890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Winter Street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Pr>
          <w:p>
            <w:pPr>
              <w:jc w:val="right"/>
              <w:spacing w:after="0"/>
              <w:rPr>
                <w:sz w:val="20"/>
                <w:szCs w:val="20"/>
                <w:color w:val="auto"/>
              </w:rPr>
            </w:pPr>
            <w:r>
              <w:rPr>
                <w:rFonts w:ascii="Arial" w:cs="Arial" w:eastAsia="Arial" w:hAnsi="Arial"/>
                <w:sz w:val="14"/>
                <w:szCs w:val="14"/>
                <w:color w:val="auto"/>
              </w:rPr>
              <w:t>54.0 %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179,312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150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177,226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Capital Gallery</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40" w:type="dxa"/>
            <w:vAlign w:val="bottom"/>
          </w:tcPr>
          <w:p>
            <w:pPr>
              <w:jc w:val="right"/>
              <w:spacing w:after="0"/>
              <w:rPr>
                <w:sz w:val="20"/>
                <w:szCs w:val="20"/>
                <w:color w:val="auto"/>
              </w:rPr>
            </w:pPr>
            <w:r>
              <w:rPr>
                <w:rFonts w:ascii="Arial" w:cs="Arial" w:eastAsia="Arial" w:hAnsi="Arial"/>
                <w:sz w:val="14"/>
                <w:szCs w:val="14"/>
                <w:color w:val="auto"/>
              </w:rPr>
              <w:t>97.1 %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176,809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Lexington Office Park (5)</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166,779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206</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161,763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210</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159,468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Kingstowne Two</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Alexandria, VA</w:t>
            </w:r>
          </w:p>
        </w:tc>
        <w:tc>
          <w:tcPr>
            <w:tcW w:w="2140" w:type="dxa"/>
            <w:vAlign w:val="bottom"/>
          </w:tcPr>
          <w:p>
            <w:pPr>
              <w:jc w:val="right"/>
              <w:spacing w:after="0"/>
              <w:rPr>
                <w:sz w:val="20"/>
                <w:szCs w:val="20"/>
                <w:color w:val="auto"/>
              </w:rPr>
            </w:pPr>
            <w:r>
              <w:rPr>
                <w:rFonts w:ascii="Arial" w:cs="Arial" w:eastAsia="Arial" w:hAnsi="Arial"/>
                <w:sz w:val="14"/>
                <w:szCs w:val="14"/>
                <w:color w:val="auto"/>
              </w:rPr>
              <w:t>83.7 %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156,005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Kingstowne One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Alexandria, VA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153,401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105</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Broadway</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152,664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212</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147,530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214</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65.9 %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146,799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2440 West El Camino Real</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Mountain View, CA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142,789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506</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68.2 %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139,050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153</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&amp; 211 Second Avenue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Two Reston Overlook</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134,615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508</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134,433</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202</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87.0 %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134,068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804</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504</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121,990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121,619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502</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96.2 %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121,460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1265 Main Street (50%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120,681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701</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104</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102,930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103</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78.6 %</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96,331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33 Hayden Avenue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80,876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 Leased as of December 31,</w:t>
            </w:r>
          </w:p>
        </w:tc>
        <w:tc>
          <w:tcPr>
            <w:tcW w:w="68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300" w:type="dxa"/>
            <w:vAlign w:val="bottom"/>
            <w:vMerge w:val="restart"/>
          </w:tcPr>
          <w:p>
            <w:pPr>
              <w:spacing w:after="0"/>
              <w:rPr>
                <w:sz w:val="11"/>
                <w:szCs w:val="11"/>
                <w:color w:val="auto"/>
              </w:rPr>
            </w:pPr>
          </w:p>
        </w:tc>
        <w:tc>
          <w:tcPr>
            <w:tcW w:w="2200" w:type="dxa"/>
            <w:vAlign w:val="bottom"/>
            <w:vMerge w:val="restart"/>
          </w:tcPr>
          <w:p>
            <w:pPr>
              <w:ind w:left="84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1"/>
                <w:szCs w:val="11"/>
                <w:color w:val="auto"/>
              </w:rPr>
            </w:pPr>
          </w:p>
        </w:tc>
        <w:tc>
          <w:tcPr>
            <w:tcW w:w="20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of</w:t>
            </w:r>
          </w:p>
        </w:tc>
        <w:tc>
          <w:tcPr>
            <w:tcW w:w="11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8"/>
              </w:rPr>
              <w:t>Rentable</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80" w:type="dxa"/>
            <w:vAlign w:val="bottom"/>
            <w:tcBorders>
              <w:bottom w:val="single" w:sz="8" w:color="auto"/>
            </w:tcBorders>
          </w:tcPr>
          <w:p>
            <w:pPr>
              <w:jc w:val="right"/>
              <w:ind w:right="729"/>
              <w:spacing w:after="0"/>
              <w:rPr>
                <w:sz w:val="20"/>
                <w:szCs w:val="20"/>
                <w:color w:val="auto"/>
              </w:rPr>
            </w:pPr>
            <w:r>
              <w:rPr>
                <w:rFonts w:ascii="Arial" w:cs="Arial" w:eastAsia="Arial" w:hAnsi="Arial"/>
                <w:sz w:val="13"/>
                <w:szCs w:val="13"/>
                <w:b w:val="1"/>
                <w:bCs w:val="1"/>
                <w:color w:val="auto"/>
              </w:rPr>
              <w:t>2022 (1)</w:t>
            </w:r>
          </w:p>
        </w:tc>
        <w:tc>
          <w:tcPr>
            <w:tcW w:w="6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Buildings</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Square Feet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Reservoir Place North</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73,258</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 Hartwell Avenue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69,154</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250 Binney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67,362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302 Carnegie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64,926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100 Hayden Avenue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55,924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211 Carnegie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92 Hayden Avenue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17 Hartwell Avenue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453 Ravendale Drive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Mountain View, CA</w:t>
            </w:r>
          </w:p>
        </w:tc>
        <w:tc>
          <w:tcPr>
            <w:tcW w:w="2080" w:type="dxa"/>
            <w:vAlign w:val="bottom"/>
          </w:tcPr>
          <w:p>
            <w:pPr>
              <w:jc w:val="right"/>
              <w:spacing w:after="0"/>
              <w:rPr>
                <w:sz w:val="20"/>
                <w:szCs w:val="20"/>
                <w:color w:val="auto"/>
              </w:rPr>
            </w:pPr>
            <w:r>
              <w:rPr>
                <w:rFonts w:ascii="Arial" w:cs="Arial" w:eastAsia="Arial" w:hAnsi="Arial"/>
                <w:sz w:val="14"/>
                <w:szCs w:val="14"/>
                <w:color w:val="auto"/>
              </w:rPr>
              <w:t>75.0 %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29,620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690 Folsom Street</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201 Carnegie Center</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Borders>
              <w:top w:val="single" w:sz="8" w:color="CCEEFF"/>
            </w:tcBorders>
            <w:gridSpan w:val="4"/>
            <w:shd w:val="clear" w:color="auto" w:fill="CCEEFF"/>
          </w:tcPr>
          <w:p>
            <w:pPr>
              <w:ind w:left="580"/>
              <w:spacing w:after="0"/>
              <w:rPr>
                <w:sz w:val="20"/>
                <w:szCs w:val="20"/>
                <w:color w:val="auto"/>
              </w:rPr>
            </w:pPr>
            <w:r>
              <w:rPr>
                <w:rFonts w:ascii="Arial" w:cs="Arial" w:eastAsia="Arial" w:hAnsi="Arial"/>
                <w:sz w:val="14"/>
                <w:szCs w:val="14"/>
                <w:color w:val="auto"/>
              </w:rPr>
              <w:t>Subtotal for Office and Life Sciences Properties</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88.5 %</w:t>
            </w:r>
          </w:p>
        </w:tc>
        <w:tc>
          <w:tcPr>
            <w:tcW w:w="6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48,154,072</w:t>
            </w:r>
          </w:p>
        </w:tc>
        <w:tc>
          <w:tcPr>
            <w:tcW w:w="6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Retail</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Prudential Center (retail shops) (3)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95.9 %</w:t>
            </w:r>
          </w:p>
        </w:tc>
        <w:tc>
          <w:tcPr>
            <w:tcW w:w="6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475,899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Fountain Square Retail</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080" w:type="dxa"/>
            <w:vAlign w:val="bottom"/>
          </w:tcPr>
          <w:p>
            <w:pPr>
              <w:jc w:val="right"/>
              <w:spacing w:after="0"/>
              <w:rPr>
                <w:sz w:val="20"/>
                <w:szCs w:val="20"/>
                <w:color w:val="auto"/>
              </w:rPr>
            </w:pPr>
            <w:r>
              <w:rPr>
                <w:rFonts w:ascii="Arial" w:cs="Arial" w:eastAsia="Arial" w:hAnsi="Arial"/>
                <w:sz w:val="14"/>
                <w:szCs w:val="14"/>
                <w:color w:val="auto"/>
              </w:rPr>
              <w:t>83.2 %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198,158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Kingstowne Retail</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Alexandria, VA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88,288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300"/>
              <w:spacing w:after="0" w:line="156" w:lineRule="exact"/>
              <w:rPr>
                <w:sz w:val="20"/>
                <w:szCs w:val="20"/>
                <w:color w:val="auto"/>
              </w:rPr>
            </w:pPr>
            <w:r>
              <w:rPr>
                <w:rFonts w:ascii="Arial" w:cs="Arial" w:eastAsia="Arial" w:hAnsi="Arial"/>
                <w:sz w:val="14"/>
                <w:szCs w:val="14"/>
                <w:color w:val="auto"/>
              </w:rPr>
              <w:t>Santa Monica Business Park Retail (55%</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gridSpan w:val="2"/>
          </w:tcPr>
          <w:p>
            <w:pPr>
              <w:ind w:left="580"/>
              <w:spacing w:after="0"/>
              <w:rPr>
                <w:sz w:val="20"/>
                <w:szCs w:val="20"/>
                <w:color w:val="auto"/>
              </w:rPr>
            </w:pPr>
            <w:r>
              <w:rPr>
                <w:rFonts w:ascii="Arial" w:cs="Arial" w:eastAsia="Arial" w:hAnsi="Arial"/>
                <w:sz w:val="14"/>
                <w:szCs w:val="14"/>
                <w:color w:val="auto"/>
              </w:rPr>
              <w:t>ownership) (2)</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Santa Monica, CA</w:t>
            </w:r>
          </w:p>
        </w:tc>
        <w:tc>
          <w:tcPr>
            <w:tcW w:w="2080" w:type="dxa"/>
            <w:vAlign w:val="bottom"/>
          </w:tcPr>
          <w:p>
            <w:pPr>
              <w:jc w:val="right"/>
              <w:spacing w:after="0"/>
              <w:rPr>
                <w:sz w:val="20"/>
                <w:szCs w:val="20"/>
                <w:color w:val="auto"/>
              </w:rPr>
            </w:pPr>
            <w:r>
              <w:rPr>
                <w:rFonts w:ascii="Arial" w:cs="Arial" w:eastAsia="Arial" w:hAnsi="Arial"/>
                <w:sz w:val="14"/>
                <w:szCs w:val="14"/>
                <w:color w:val="auto"/>
              </w:rPr>
              <w:t>90.1 %</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74,404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Star Market at the Prudential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57,236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Avant Retail</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26,179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The Point</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60" w:type="dxa"/>
            <w:vAlign w:val="bottom"/>
            <w:tcBorders>
              <w:bottom w:val="single" w:sz="8" w:color="CCEEFF"/>
            </w:tcBorders>
            <w:gridSpan w:val="2"/>
          </w:tcPr>
          <w:p>
            <w:pPr>
              <w:ind w:left="580"/>
              <w:spacing w:after="0"/>
              <w:rPr>
                <w:sz w:val="20"/>
                <w:szCs w:val="20"/>
                <w:color w:val="auto"/>
              </w:rPr>
            </w:pPr>
            <w:r>
              <w:rPr>
                <w:rFonts w:ascii="Arial" w:cs="Arial" w:eastAsia="Arial" w:hAnsi="Arial"/>
                <w:sz w:val="14"/>
                <w:szCs w:val="14"/>
                <w:color w:val="auto"/>
              </w:rPr>
              <w:t>Subtotal for Retail Properties</w:t>
            </w: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93.3 %</w:t>
            </w:r>
          </w:p>
        </w:tc>
        <w:tc>
          <w:tcPr>
            <w:tcW w:w="6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936,464</w:t>
            </w: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Signature at Reston (508 units)</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080" w:type="dxa"/>
            <w:vAlign w:val="bottom"/>
          </w:tcPr>
          <w:p>
            <w:pPr>
              <w:jc w:val="right"/>
              <w:spacing w:after="0"/>
              <w:rPr>
                <w:sz w:val="20"/>
                <w:szCs w:val="20"/>
                <w:color w:val="auto"/>
              </w:rPr>
            </w:pPr>
            <w:r>
              <w:rPr>
                <w:rFonts w:ascii="Arial" w:cs="Arial" w:eastAsia="Arial" w:hAnsi="Arial"/>
                <w:sz w:val="14"/>
                <w:szCs w:val="14"/>
                <w:color w:val="auto"/>
              </w:rPr>
              <w:t>93.7 %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517,783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The Skylyne (402 units)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Oakland, CA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330,996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300"/>
              <w:spacing w:after="0" w:line="156" w:lineRule="exact"/>
              <w:rPr>
                <w:sz w:val="20"/>
                <w:szCs w:val="20"/>
                <w:color w:val="auto"/>
              </w:rPr>
            </w:pPr>
            <w:r>
              <w:rPr>
                <w:rFonts w:ascii="Arial" w:cs="Arial" w:eastAsia="Arial" w:hAnsi="Arial"/>
                <w:sz w:val="14"/>
                <w:szCs w:val="14"/>
                <w:color w:val="auto"/>
              </w:rPr>
              <w:t>Hub50House (440 units) (50% ownership)</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58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080" w:type="dxa"/>
            <w:vAlign w:val="bottom"/>
          </w:tcPr>
          <w:p>
            <w:pPr>
              <w:jc w:val="right"/>
              <w:spacing w:after="0"/>
              <w:rPr>
                <w:sz w:val="20"/>
                <w:szCs w:val="20"/>
                <w:color w:val="auto"/>
              </w:rPr>
            </w:pPr>
            <w:r>
              <w:rPr>
                <w:rFonts w:ascii="Arial" w:cs="Arial" w:eastAsia="Arial" w:hAnsi="Arial"/>
                <w:sz w:val="14"/>
                <w:szCs w:val="14"/>
                <w:color w:val="auto"/>
              </w:rPr>
              <w:t>94.6 %</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320,444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Proto Kendall Square (280 units)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166,717</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The Lofts at Atlantic Wharf (86 units)</w:t>
            </w:r>
          </w:p>
        </w:tc>
        <w:tc>
          <w:tcPr>
            <w:tcW w:w="2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Boston, MA</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97.7 %</w:t>
            </w:r>
          </w:p>
        </w:tc>
        <w:tc>
          <w:tcPr>
            <w:tcW w:w="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87,096</w:t>
            </w:r>
          </w:p>
        </w:tc>
        <w:tc>
          <w:tcPr>
            <w:tcW w:w="6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Subtotal for Residential Properties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93.5 %</w:t>
            </w:r>
          </w:p>
        </w:tc>
        <w:tc>
          <w:tcPr>
            <w:tcW w:w="6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1,423,036</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Hotel</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Boston Marriott Cambridge (437 rooms)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64.6 %</w:t>
            </w:r>
          </w:p>
        </w:tc>
        <w:tc>
          <w:tcPr>
            <w:tcW w:w="6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334,260</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3460" w:type="dxa"/>
            <w:vAlign w:val="bottom"/>
            <w:tcBorders>
              <w:bottom w:val="single" w:sz="8" w:color="CCEEFF"/>
            </w:tcBorders>
            <w:gridSpan w:val="2"/>
          </w:tcPr>
          <w:p>
            <w:pPr>
              <w:ind w:left="580"/>
              <w:spacing w:after="0"/>
              <w:rPr>
                <w:sz w:val="20"/>
                <w:szCs w:val="20"/>
                <w:color w:val="auto"/>
              </w:rPr>
            </w:pPr>
            <w:r>
              <w:rPr>
                <w:rFonts w:ascii="Arial" w:cs="Arial" w:eastAsia="Arial" w:hAnsi="Arial"/>
                <w:sz w:val="14"/>
                <w:szCs w:val="14"/>
                <w:color w:val="auto"/>
              </w:rPr>
              <w:t>Subtotal for Hotel Property</w:t>
            </w: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64.6 %</w:t>
            </w:r>
          </w:p>
        </w:tc>
        <w:tc>
          <w:tcPr>
            <w:tcW w:w="6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334,260</w:t>
            </w: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Subtotal for In-Service Properties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88.6 %</w:t>
            </w:r>
          </w:p>
        </w:tc>
        <w:tc>
          <w:tcPr>
            <w:tcW w:w="6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50,847,832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Properties Under Construction/Redevelopment (11)</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140 Kendrick Street - Building A</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Needham, MA</w:t>
            </w:r>
          </w:p>
        </w:tc>
        <w:tc>
          <w:tcPr>
            <w:tcW w:w="2080" w:type="dxa"/>
            <w:vAlign w:val="bottom"/>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2100 Pennsylvania Avenue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480,000</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3460" w:type="dxa"/>
            <w:vAlign w:val="bottom"/>
            <w:gridSpan w:val="2"/>
          </w:tcPr>
          <w:p>
            <w:pPr>
              <w:ind w:left="300"/>
              <w:spacing w:after="0" w:line="156" w:lineRule="exact"/>
              <w:rPr>
                <w:sz w:val="20"/>
                <w:szCs w:val="20"/>
                <w:color w:val="auto"/>
              </w:rPr>
            </w:pPr>
            <w:r>
              <w:rPr>
                <w:rFonts w:ascii="Arial" w:cs="Arial" w:eastAsia="Arial" w:hAnsi="Arial"/>
                <w:sz w:val="14"/>
                <w:szCs w:val="14"/>
                <w:color w:val="auto"/>
              </w:rPr>
              <w:t>360 Park Avenue South (redevelopment)</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gridSpan w:val="2"/>
          </w:tcPr>
          <w:p>
            <w:pPr>
              <w:ind w:left="580"/>
              <w:spacing w:after="0"/>
              <w:rPr>
                <w:sz w:val="20"/>
                <w:szCs w:val="20"/>
                <w:color w:val="auto"/>
              </w:rPr>
            </w:pPr>
            <w:r>
              <w:rPr>
                <w:rFonts w:ascii="Arial" w:cs="Arial" w:eastAsia="Arial" w:hAnsi="Arial"/>
                <w:sz w:val="14"/>
                <w:szCs w:val="14"/>
                <w:color w:val="auto"/>
              </w:rPr>
              <w:t>(42.21% ownership) (2)</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080" w:type="dxa"/>
            <w:vAlign w:val="bottom"/>
          </w:tcPr>
          <w:p>
            <w:pPr>
              <w:jc w:val="right"/>
              <w:spacing w:after="0"/>
              <w:rPr>
                <w:sz w:val="20"/>
                <w:szCs w:val="20"/>
                <w:color w:val="auto"/>
              </w:rPr>
            </w:pPr>
            <w:r>
              <w:rPr>
                <w:rFonts w:ascii="Arial" w:cs="Arial" w:eastAsia="Arial" w:hAnsi="Arial"/>
                <w:sz w:val="14"/>
                <w:szCs w:val="14"/>
                <w:color w:val="auto"/>
              </w:rPr>
              <w:t>— %</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450,000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Reston Next Office Phase II</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Platform16 Building A (55% ownership) (2)</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San Jose, CA</w:t>
            </w:r>
          </w:p>
        </w:tc>
        <w:tc>
          <w:tcPr>
            <w:tcW w:w="2080" w:type="dxa"/>
            <w:vAlign w:val="bottom"/>
          </w:tcPr>
          <w:p>
            <w:pPr>
              <w:jc w:val="right"/>
              <w:spacing w:after="0"/>
              <w:rPr>
                <w:sz w:val="20"/>
                <w:szCs w:val="20"/>
                <w:color w:val="auto"/>
              </w:rPr>
            </w:pPr>
            <w:r>
              <w:rPr>
                <w:rFonts w:ascii="Arial" w:cs="Arial" w:eastAsia="Arial" w:hAnsi="Arial"/>
                <w:sz w:val="14"/>
                <w:szCs w:val="14"/>
                <w:color w:val="auto"/>
              </w:rPr>
              <w:t>— %</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389,500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2"/>
            <w:vMerge w:val="restart"/>
          </w:tcPr>
          <w:p>
            <w:pPr>
              <w:jc w:val="right"/>
              <w:ind w:right="720"/>
              <w:spacing w:after="0"/>
              <w:rPr>
                <w:sz w:val="20"/>
                <w:szCs w:val="20"/>
                <w:color w:val="auto"/>
              </w:rPr>
            </w:pPr>
            <w:r>
              <w:rPr>
                <w:rFonts w:ascii="Arial" w:cs="Arial" w:eastAsia="Arial" w:hAnsi="Arial"/>
                <w:sz w:val="13"/>
                <w:szCs w:val="13"/>
                <w:b w:val="1"/>
                <w:bCs w:val="1"/>
                <w:color w:val="auto"/>
                <w:w w:val="96"/>
              </w:rPr>
              <w:t>% Leased as of December 31, 2022</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0"/>
        </w:trPr>
        <w:tc>
          <w:tcPr>
            <w:tcW w:w="32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vMerge w:val="restart"/>
          </w:tcPr>
          <w:p>
            <w:pPr>
              <w:spacing w:after="0"/>
              <w:rPr>
                <w:sz w:val="11"/>
                <w:szCs w:val="11"/>
                <w:color w:val="auto"/>
              </w:rPr>
            </w:pPr>
          </w:p>
        </w:tc>
        <w:tc>
          <w:tcPr>
            <w:tcW w:w="226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of</w:t>
            </w:r>
          </w:p>
        </w:tc>
        <w:tc>
          <w:tcPr>
            <w:tcW w:w="1760" w:type="dxa"/>
            <w:vAlign w:val="bottom"/>
            <w:gridSpan w:val="2"/>
          </w:tcPr>
          <w:p>
            <w:pPr>
              <w:jc w:val="center"/>
              <w:ind w:right="600"/>
              <w:spacing w:after="0" w:line="131" w:lineRule="exact"/>
              <w:rPr>
                <w:sz w:val="20"/>
                <w:szCs w:val="20"/>
                <w:color w:val="auto"/>
              </w:rPr>
            </w:pPr>
            <w:r>
              <w:rPr>
                <w:rFonts w:ascii="Arial" w:cs="Arial" w:eastAsia="Arial" w:hAnsi="Arial"/>
                <w:sz w:val="13"/>
                <w:szCs w:val="13"/>
                <w:b w:val="1"/>
                <w:bCs w:val="1"/>
                <w:color w:val="auto"/>
                <w:w w:val="94"/>
              </w:rPr>
              <w:t>Rentable</w:t>
            </w: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auto"/>
            </w:tcBorders>
          </w:tcPr>
          <w:p>
            <w:pPr>
              <w:jc w:val="right"/>
              <w:ind w:right="910"/>
              <w:spacing w:after="0"/>
              <w:rPr>
                <w:sz w:val="20"/>
                <w:szCs w:val="20"/>
                <w:color w:val="auto"/>
              </w:rPr>
            </w:pPr>
            <w:r>
              <w:rPr>
                <w:rFonts w:ascii="Arial" w:cs="Arial" w:eastAsia="Arial" w:hAnsi="Arial"/>
                <w:sz w:val="13"/>
                <w:szCs w:val="13"/>
                <w:b w:val="1"/>
                <w:bCs w:val="1"/>
                <w:color w:val="auto"/>
              </w:rPr>
              <w:t>(1)</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Buildings</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Square Feet</w:t>
            </w:r>
          </w:p>
        </w:tc>
        <w:tc>
          <w:tcPr>
            <w:tcW w:w="6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Laboratory/Life Sciences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751</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Gateway (49% 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South San Francisco, CA</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231,000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103</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82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190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CityPoint (formerly 180 CityPoint)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20" w:type="dxa"/>
            <w:vAlign w:val="bottom"/>
          </w:tcPr>
          <w:p>
            <w:pPr>
              <w:jc w:val="right"/>
              <w:spacing w:after="0"/>
              <w:rPr>
                <w:sz w:val="20"/>
                <w:szCs w:val="20"/>
                <w:color w:val="auto"/>
              </w:rPr>
            </w:pPr>
            <w:r>
              <w:rPr>
                <w:rFonts w:ascii="Arial" w:cs="Arial" w:eastAsia="Arial" w:hAnsi="Arial"/>
                <w:sz w:val="14"/>
                <w:szCs w:val="14"/>
                <w:color w:val="auto"/>
              </w:rPr>
              <w:t>43.0 %</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329,000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105</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82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Pr>
          <w:p>
            <w:pPr>
              <w:ind w:left="300"/>
              <w:spacing w:after="0" w:line="156" w:lineRule="exact"/>
              <w:rPr>
                <w:sz w:val="20"/>
                <w:szCs w:val="20"/>
                <w:color w:val="auto"/>
              </w:rPr>
            </w:pPr>
            <w:r>
              <w:rPr>
                <w:rFonts w:ascii="Arial" w:cs="Arial" w:eastAsia="Arial" w:hAnsi="Arial"/>
                <w:sz w:val="14"/>
                <w:szCs w:val="14"/>
                <w:color w:val="auto"/>
              </w:rPr>
              <w:t>651</w:t>
            </w:r>
          </w:p>
        </w:tc>
        <w:tc>
          <w:tcPr>
            <w:tcW w:w="276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Gateway (50% ownership)</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(Redevelopment)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South San Francisco, CA</w:t>
            </w:r>
          </w:p>
        </w:tc>
        <w:tc>
          <w:tcPr>
            <w:tcW w:w="2120" w:type="dxa"/>
            <w:vAlign w:val="bottom"/>
          </w:tcPr>
          <w:p>
            <w:pPr>
              <w:jc w:val="right"/>
              <w:spacing w:after="0"/>
              <w:rPr>
                <w:sz w:val="20"/>
                <w:szCs w:val="20"/>
                <w:color w:val="auto"/>
              </w:rPr>
            </w:pPr>
            <w:r>
              <w:rPr>
                <w:rFonts w:ascii="Arial" w:cs="Arial" w:eastAsia="Arial" w:hAnsi="Arial"/>
                <w:sz w:val="14"/>
                <w:szCs w:val="14"/>
                <w:color w:val="auto"/>
              </w:rPr>
              <w:t>7.0 %</w:t>
            </w: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320" w:type="dxa"/>
            <w:vAlign w:val="bottom"/>
            <w:gridSpan w:val="3"/>
          </w:tcPr>
          <w:p>
            <w:pPr>
              <w:ind w:left="300"/>
              <w:spacing w:after="0" w:line="156" w:lineRule="exact"/>
              <w:rPr>
                <w:sz w:val="20"/>
                <w:szCs w:val="20"/>
                <w:color w:val="auto"/>
              </w:rPr>
            </w:pPr>
            <w:r>
              <w:rPr>
                <w:rFonts w:ascii="Arial" w:cs="Arial" w:eastAsia="Arial" w:hAnsi="Arial"/>
                <w:sz w:val="14"/>
                <w:szCs w:val="14"/>
                <w:color w:val="auto"/>
              </w:rPr>
              <w:t>Reston Next Residential (508 units) (20%</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820" w:type="dxa"/>
            <w:vAlign w:val="bottom"/>
            <w:gridSpan w:val="2"/>
          </w:tcPr>
          <w:p>
            <w:pPr>
              <w:jc w:val="right"/>
              <w:ind w:right="7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417,000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300"/>
              <w:spacing w:after="0"/>
              <w:rPr>
                <w:sz w:val="20"/>
                <w:szCs w:val="20"/>
                <w:color w:val="auto"/>
              </w:rPr>
            </w:pPr>
            <w:r>
              <w:rPr>
                <w:rFonts w:ascii="Arial" w:cs="Arial" w:eastAsia="Arial" w:hAnsi="Arial"/>
                <w:sz w:val="14"/>
                <w:szCs w:val="14"/>
                <w:color w:val="auto"/>
              </w:rPr>
              <w:t>760</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Boylston Street (Redevelopment)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tcPr>
          <w:p>
            <w:pPr>
              <w:jc w:val="right"/>
              <w:spacing w:after="0"/>
              <w:rPr>
                <w:sz w:val="20"/>
                <w:szCs w:val="20"/>
                <w:color w:val="auto"/>
              </w:rPr>
            </w:pPr>
            <w:r>
              <w:rPr>
                <w:rFonts w:ascii="Arial" w:cs="Arial" w:eastAsia="Arial" w:hAnsi="Arial"/>
                <w:sz w:val="14"/>
                <w:szCs w:val="14"/>
                <w:color w:val="auto"/>
              </w:rPr>
              <w:t>100.0 %</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Reston Next Retail</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82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ind w:left="20"/>
              <w:spacing w:after="0"/>
              <w:rPr>
                <w:sz w:val="20"/>
                <w:szCs w:val="20"/>
                <w:color w:val="auto"/>
              </w:rPr>
            </w:pPr>
            <w:r>
              <w:rPr>
                <w:rFonts w:ascii="Arial" w:cs="Arial" w:eastAsia="Arial" w:hAnsi="Arial"/>
                <w:sz w:val="14"/>
                <w:szCs w:val="14"/>
                <w:color w:val="auto"/>
              </w:rPr>
              <w:t>Other</w:t>
            </w:r>
          </w:p>
        </w:tc>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gridSpan w:val="3"/>
            <w:shd w:val="clear" w:color="auto" w:fill="CCEEFF"/>
          </w:tcPr>
          <w:p>
            <w:pPr>
              <w:ind w:left="300"/>
              <w:spacing w:after="0" w:line="159" w:lineRule="exact"/>
              <w:rPr>
                <w:sz w:val="20"/>
                <w:szCs w:val="20"/>
                <w:color w:val="auto"/>
              </w:rPr>
            </w:pPr>
            <w:r>
              <w:rPr>
                <w:rFonts w:ascii="Arial" w:cs="Arial" w:eastAsia="Arial" w:hAnsi="Arial"/>
                <w:sz w:val="14"/>
                <w:szCs w:val="14"/>
                <w:color w:val="auto"/>
              </w:rPr>
              <w:t>View Boston Observatory at The Prudential</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 (Redevelopment)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5120" w:type="dxa"/>
            <w:vAlign w:val="bottom"/>
            <w:gridSpan w:val="4"/>
          </w:tcPr>
          <w:p>
            <w:pPr>
              <w:ind w:left="240"/>
              <w:spacing w:after="0"/>
              <w:rPr>
                <w:sz w:val="20"/>
                <w:szCs w:val="20"/>
                <w:color w:val="auto"/>
              </w:rPr>
            </w:pPr>
            <w:r>
              <w:rPr>
                <w:rFonts w:ascii="Arial" w:cs="Arial" w:eastAsia="Arial" w:hAnsi="Arial"/>
                <w:sz w:val="14"/>
                <w:szCs w:val="14"/>
                <w:color w:val="auto"/>
              </w:rPr>
              <w:t>Subtotal for Properties Under Construction/Redevelopment</w:t>
            </w:r>
          </w:p>
        </w:tc>
        <w:tc>
          <w:tcPr>
            <w:tcW w:w="2820" w:type="dxa"/>
            <w:vAlign w:val="bottom"/>
            <w:gridSpan w:val="2"/>
          </w:tcPr>
          <w:p>
            <w:pPr>
              <w:jc w:val="right"/>
              <w:ind w:right="340"/>
              <w:spacing w:after="0"/>
              <w:rPr>
                <w:sz w:val="20"/>
                <w:szCs w:val="20"/>
                <w:color w:val="auto"/>
              </w:rPr>
            </w:pPr>
            <w:r>
              <w:rPr>
                <w:rFonts w:ascii="Arial" w:cs="Arial" w:eastAsia="Arial" w:hAnsi="Arial"/>
                <w:sz w:val="14"/>
                <w:szCs w:val="14"/>
                <w:color w:val="auto"/>
              </w:rPr>
              <w:t>37.0 %  (13)</w:t>
            </w: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3,213,500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Total Portfolio</w:t>
            </w:r>
          </w:p>
        </w:tc>
        <w:tc>
          <w:tcPr>
            <w:tcW w:w="2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54,061,332</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00" w:right="420" w:hanging="292"/>
        <w:spacing w:after="0" w:line="256" w:lineRule="auto"/>
        <w:tabs>
          <w:tab w:leader="none" w:pos="4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signed leases for in-service properties for which revenue recognition has commenced in accordance with accounting principles generally accepted in the United States (“GAAP”).</w:t>
      </w: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Property is an unconsolidated joint venture.</w:t>
      </w:r>
    </w:p>
    <w:p>
      <w:pPr>
        <w:spacing w:after="0" w:line="4" w:lineRule="exact"/>
        <w:rPr>
          <w:rFonts w:ascii="Arial" w:cs="Arial" w:eastAsia="Arial" w:hAnsi="Arial"/>
          <w:sz w:val="14"/>
          <w:szCs w:val="14"/>
          <w:color w:val="auto"/>
        </w:rPr>
      </w:pPr>
    </w:p>
    <w:p>
      <w:pPr>
        <w:ind w:left="500" w:right="120" w:hanging="292"/>
        <w:spacing w:after="0" w:line="256" w:lineRule="auto"/>
        <w:tabs>
          <w:tab w:leader="none" w:pos="4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a portion of the property that was placed in redevelopment during the year for 760 Boylston Street, the stand-alone building consisting of approximately 118,000 square feet at the Prudential Center (retail shops), and for 140 Kendrick Street one building consisting of approximately 90,000 square feet.</w:t>
      </w: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property is held for redevelopment (see Note 16 to the Consolidated Financial Statements).</w:t>
      </w:r>
    </w:p>
    <w:p>
      <w:pPr>
        <w:spacing w:after="0" w:line="4" w:lineRule="exact"/>
        <w:rPr>
          <w:rFonts w:ascii="Arial" w:cs="Arial" w:eastAsia="Arial" w:hAnsi="Arial"/>
          <w:sz w:val="14"/>
          <w:szCs w:val="14"/>
          <w:color w:val="auto"/>
        </w:rPr>
      </w:pPr>
    </w:p>
    <w:p>
      <w:pPr>
        <w:ind w:left="480" w:hanging="272"/>
        <w:spacing w:after="0" w:line="229" w:lineRule="auto"/>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Property is held for redevelopment.</w:t>
      </w:r>
    </w:p>
    <w:p>
      <w:pPr>
        <w:ind w:left="500" w:right="780" w:hanging="292"/>
        <w:spacing w:after="0" w:line="256" w:lineRule="auto"/>
        <w:tabs>
          <w:tab w:leader="none" w:pos="4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2096 Gaither Road, which was taken out of service following the expiration of the last leases on November 30, 2022. 2096 Gaither Road consisted of approximately 50,000 net rentable square feet of office space. The property is held for future redevelopment.</w:t>
      </w: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Percentage leased is not included in the calculation of the Total Portfolio occupancy rate for In-Service Properties as of December 31, 2022.</w:t>
      </w:r>
    </w:p>
    <w:p>
      <w:pPr>
        <w:spacing w:after="0" w:line="16" w:lineRule="exact"/>
        <w:rPr>
          <w:rFonts w:ascii="Arial" w:cs="Arial" w:eastAsia="Arial" w:hAnsi="Arial"/>
          <w:sz w:val="14"/>
          <w:szCs w:val="14"/>
          <w:color w:val="auto"/>
        </w:rPr>
      </w:pPr>
    </w:p>
    <w:p>
      <w:pPr>
        <w:ind w:left="500" w:right="560" w:hanging="292"/>
        <w:spacing w:after="0" w:line="238" w:lineRule="auto"/>
        <w:tabs>
          <w:tab w:leader="none" w:pos="4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61,511 square feet of retail space that is approximately 46.7% leased as of December 31, 2022. This amount is not included in the calculation of the Total Portfolio occupancy rate for In-Service Properties as of December 31, 2022.</w:t>
      </w:r>
    </w:p>
    <w:p>
      <w:pPr>
        <w:ind w:left="500" w:right="140" w:hanging="292"/>
        <w:spacing w:after="0" w:line="238" w:lineRule="auto"/>
        <w:tabs>
          <w:tab w:leader="none" w:pos="4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weighted-average room occupancy for the year ended December 31, 2022. This amount is not included in the calculation of the Total Portfolio occupancy rate for In-Service Properties as of December 31, 2022.</w:t>
      </w:r>
    </w:p>
    <w:p>
      <w:pPr>
        <w:ind w:left="500" w:right="40" w:hanging="292"/>
        <w:spacing w:after="0" w:line="256" w:lineRule="auto"/>
        <w:tabs>
          <w:tab w:leader="none" w:pos="49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4,260 square feet of retail space that is 100% leased as of December 31, 2022. This amount is not included in the calculation of the Total Portfolio occupancy rate for In-Service Properties as of December 31, 2022.</w:t>
      </w: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percentage leased as of February 21, 2023, including leases with future commencement dates.</w:t>
      </w:r>
    </w:p>
    <w:p>
      <w:pPr>
        <w:spacing w:after="0" w:line="4" w:lineRule="exact"/>
        <w:rPr>
          <w:rFonts w:ascii="Arial" w:cs="Arial" w:eastAsia="Arial" w:hAnsi="Arial"/>
          <w:sz w:val="14"/>
          <w:szCs w:val="14"/>
          <w:color w:val="auto"/>
        </w:rPr>
      </w:pP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property was 64% placed in-service as of December 31, 2022.</w:t>
      </w:r>
    </w:p>
    <w:p>
      <w:pPr>
        <w:spacing w:after="0" w:line="16" w:lineRule="exact"/>
        <w:rPr>
          <w:rFonts w:ascii="Arial" w:cs="Arial" w:eastAsia="Arial" w:hAnsi="Arial"/>
          <w:sz w:val="14"/>
          <w:szCs w:val="14"/>
          <w:color w:val="auto"/>
        </w:rPr>
      </w:pPr>
    </w:p>
    <w:p>
      <w:pPr>
        <w:ind w:left="480" w:hanging="272"/>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Total percentage leased excludes Residential and Other.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 Leased and Average Annualized Revenue per Square Foot for In-Service Properties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percentage leased and average annualized revenue per square foot on a historical basis for our In-Service Properties.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4"/>
        </w:trPr>
        <w:tc>
          <w:tcPr>
            <w:tcW w:w="45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2018</w:t>
            </w:r>
          </w:p>
        </w:tc>
      </w:tr>
      <w:tr>
        <w:trPr>
          <w:trHeight w:val="18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Percentage leased (1)</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91.4 %</w:t>
            </w:r>
          </w:p>
        </w:tc>
      </w:tr>
      <w:tr>
        <w:trPr>
          <w:trHeight w:val="184"/>
        </w:trPr>
        <w:tc>
          <w:tcPr>
            <w:tcW w:w="4520" w:type="dxa"/>
            <w:vAlign w:val="bottom"/>
          </w:tcPr>
          <w:p>
            <w:pPr>
              <w:ind w:left="20"/>
              <w:spacing w:after="0"/>
              <w:rPr>
                <w:sz w:val="20"/>
                <w:szCs w:val="20"/>
                <w:color w:val="auto"/>
              </w:rPr>
            </w:pPr>
            <w:r>
              <w:rPr>
                <w:rFonts w:ascii="Arial" w:cs="Arial" w:eastAsia="Arial" w:hAnsi="Arial"/>
                <w:sz w:val="14"/>
                <w:szCs w:val="14"/>
                <w:color w:val="auto"/>
              </w:rPr>
              <w:t>Average annualized revenue per square foot (2)</w:t>
            </w: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$73.76</w:t>
            </w:r>
          </w:p>
        </w:tc>
        <w:tc>
          <w:tcPr>
            <w:tcW w:w="10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$66.63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80" w:hanging="272"/>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signed leases, excluding hotel and residential properties, for which revenue recognition has commenced in accordance with GAAP.</w:t>
      </w:r>
    </w:p>
    <w:p>
      <w:pPr>
        <w:spacing w:after="0" w:line="16" w:lineRule="exact"/>
        <w:rPr>
          <w:rFonts w:ascii="Arial" w:cs="Arial" w:eastAsia="Arial" w:hAnsi="Arial"/>
          <w:sz w:val="14"/>
          <w:szCs w:val="14"/>
          <w:color w:val="auto"/>
        </w:rPr>
      </w:pPr>
    </w:p>
    <w:p>
      <w:pPr>
        <w:ind w:left="500" w:right="80" w:hanging="292"/>
        <w:spacing w:after="0" w:line="258" w:lineRule="auto"/>
        <w:tabs>
          <w:tab w:leader="none" w:pos="4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monthly contractual base rents and recoveries from clients under existing leases as of December 31, 2022, 2021, 2020, 2019 and 2018 multiplied by twelve. These annualized amounts are before rent abatements and include expense reimbursements, which may be estimates as of such date. The aggregate amounts of rent abatements per square foot under existing leases as of December 31, 2022, 2021, 2020, 2019 and 2018 for the succeeding twelve-month period were $1.56, $2.15, $1.73, $1.70 and $0.97,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20 Clients by Square Feet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20 largest clients by square feet as of December 31, 2022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Client</w:t>
            </w: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Square Feet (1)</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 of In-Service Portfolio (1)</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7"/>
        </w:trPr>
        <w:tc>
          <w:tcPr>
            <w:tcW w:w="80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1.</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salesforce.com</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905,742</w:t>
            </w: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2.</w:t>
            </w:r>
          </w:p>
        </w:tc>
        <w:tc>
          <w:tcPr>
            <w:tcW w:w="6560" w:type="dxa"/>
            <w:vAlign w:val="bottom"/>
            <w:gridSpan w:val="2"/>
          </w:tcPr>
          <w:p>
            <w:pPr>
              <w:spacing w:after="0"/>
              <w:rPr>
                <w:sz w:val="20"/>
                <w:szCs w:val="20"/>
                <w:color w:val="auto"/>
              </w:rPr>
            </w:pPr>
            <w:r>
              <w:rPr>
                <w:rFonts w:ascii="Arial" w:cs="Arial" w:eastAsia="Arial" w:hAnsi="Arial"/>
                <w:sz w:val="14"/>
                <w:szCs w:val="14"/>
                <w:color w:val="auto"/>
              </w:rPr>
              <w:t>Biogen</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848,021</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2.04 %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Google</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836,110</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4.</w:t>
            </w:r>
          </w:p>
        </w:tc>
        <w:tc>
          <w:tcPr>
            <w:tcW w:w="6560" w:type="dxa"/>
            <w:vAlign w:val="bottom"/>
            <w:gridSpan w:val="2"/>
          </w:tcPr>
          <w:p>
            <w:pPr>
              <w:spacing w:after="0"/>
              <w:rPr>
                <w:sz w:val="20"/>
                <w:szCs w:val="20"/>
                <w:color w:val="auto"/>
              </w:rPr>
            </w:pPr>
            <w:r>
              <w:rPr>
                <w:rFonts w:ascii="Arial" w:cs="Arial" w:eastAsia="Arial" w:hAnsi="Arial"/>
                <w:sz w:val="14"/>
                <w:szCs w:val="14"/>
                <w:color w:val="auto"/>
              </w:rPr>
              <w:t>Fannie Mae</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706,196</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1.70 %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Microsoft</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676,013</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6.</w:t>
            </w:r>
          </w:p>
        </w:tc>
        <w:tc>
          <w:tcPr>
            <w:tcW w:w="6560" w:type="dxa"/>
            <w:vAlign w:val="bottom"/>
            <w:gridSpan w:val="2"/>
          </w:tcPr>
          <w:p>
            <w:pPr>
              <w:spacing w:after="0"/>
              <w:rPr>
                <w:sz w:val="20"/>
                <w:szCs w:val="20"/>
                <w:color w:val="auto"/>
              </w:rPr>
            </w:pPr>
            <w:r>
              <w:rPr>
                <w:rFonts w:ascii="Arial" w:cs="Arial" w:eastAsia="Arial" w:hAnsi="Arial"/>
                <w:sz w:val="14"/>
                <w:szCs w:val="14"/>
                <w:color w:val="auto"/>
              </w:rPr>
              <w:t>Akamai Technologies</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658,578</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1.59 %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Ropes &amp; Gray</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539,467</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8.</w:t>
            </w:r>
          </w:p>
        </w:tc>
        <w:tc>
          <w:tcPr>
            <w:tcW w:w="6560" w:type="dxa"/>
            <w:vAlign w:val="bottom"/>
            <w:gridSpan w:val="2"/>
          </w:tcPr>
          <w:p>
            <w:pPr>
              <w:spacing w:after="0"/>
              <w:rPr>
                <w:sz w:val="20"/>
                <w:szCs w:val="20"/>
                <w:color w:val="auto"/>
              </w:rPr>
            </w:pPr>
            <w:r>
              <w:rPr>
                <w:rFonts w:ascii="Arial" w:cs="Arial" w:eastAsia="Arial" w:hAnsi="Arial"/>
                <w:sz w:val="14"/>
                <w:szCs w:val="14"/>
                <w:color w:val="auto"/>
              </w:rPr>
              <w:t>WeWork</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499,584</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1.20 %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9.</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Kirkland &amp; Ellis</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409,828</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10.</w:t>
            </w:r>
          </w:p>
        </w:tc>
        <w:tc>
          <w:tcPr>
            <w:tcW w:w="6560" w:type="dxa"/>
            <w:vAlign w:val="bottom"/>
            <w:gridSpan w:val="2"/>
          </w:tcPr>
          <w:p>
            <w:pPr>
              <w:spacing w:after="0"/>
              <w:rPr>
                <w:sz w:val="20"/>
                <w:szCs w:val="20"/>
                <w:color w:val="auto"/>
              </w:rPr>
            </w:pPr>
            <w:r>
              <w:rPr>
                <w:rFonts w:ascii="Arial" w:cs="Arial" w:eastAsia="Arial" w:hAnsi="Arial"/>
                <w:sz w:val="14"/>
                <w:szCs w:val="14"/>
                <w:color w:val="auto"/>
              </w:rPr>
              <w:t>Shearman &amp; Sterling</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384,813</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0.93 %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Integrated Holding Group</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373,007</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12.</w:t>
            </w:r>
          </w:p>
        </w:tc>
        <w:tc>
          <w:tcPr>
            <w:tcW w:w="6560" w:type="dxa"/>
            <w:vAlign w:val="bottom"/>
            <w:gridSpan w:val="2"/>
          </w:tcPr>
          <w:p>
            <w:pPr>
              <w:spacing w:after="0"/>
              <w:rPr>
                <w:sz w:val="20"/>
                <w:szCs w:val="20"/>
                <w:color w:val="auto"/>
              </w:rPr>
            </w:pPr>
            <w:r>
              <w:rPr>
                <w:rFonts w:ascii="Arial" w:cs="Arial" w:eastAsia="Arial" w:hAnsi="Arial"/>
                <w:sz w:val="14"/>
                <w:szCs w:val="14"/>
                <w:color w:val="auto"/>
              </w:rPr>
              <w:t>Arnold &amp; Porter Kaye Scholer</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367,878</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0.89 %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Marriott</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367,787</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14.</w:t>
            </w:r>
          </w:p>
        </w:tc>
        <w:tc>
          <w:tcPr>
            <w:tcW w:w="6560" w:type="dxa"/>
            <w:vAlign w:val="bottom"/>
            <w:gridSpan w:val="2"/>
          </w:tcPr>
          <w:p>
            <w:pPr>
              <w:spacing w:after="0"/>
              <w:rPr>
                <w:sz w:val="20"/>
                <w:szCs w:val="20"/>
                <w:color w:val="auto"/>
              </w:rPr>
            </w:pPr>
            <w:r>
              <w:rPr>
                <w:rFonts w:ascii="Arial" w:cs="Arial" w:eastAsia="Arial" w:hAnsi="Arial"/>
                <w:sz w:val="14"/>
                <w:szCs w:val="14"/>
                <w:color w:val="auto"/>
              </w:rPr>
              <w:t>Leidos</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352,394</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0.85 %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 Cross Blue Shield</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347,618</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16.</w:t>
            </w:r>
          </w:p>
        </w:tc>
        <w:tc>
          <w:tcPr>
            <w:tcW w:w="6560" w:type="dxa"/>
            <w:vAlign w:val="bottom"/>
            <w:gridSpan w:val="2"/>
          </w:tcPr>
          <w:p>
            <w:pPr>
              <w:spacing w:after="0"/>
              <w:rPr>
                <w:sz w:val="20"/>
                <w:szCs w:val="20"/>
                <w:color w:val="auto"/>
              </w:rPr>
            </w:pPr>
            <w:r>
              <w:rPr>
                <w:rFonts w:ascii="Arial" w:cs="Arial" w:eastAsia="Arial" w:hAnsi="Arial"/>
                <w:sz w:val="14"/>
                <w:szCs w:val="14"/>
                <w:color w:val="auto"/>
              </w:rPr>
              <w:t>Snap</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334,008</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0.81 %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17.</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Wellington Management</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329,284</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0.79 %</w:t>
            </w:r>
          </w:p>
        </w:tc>
      </w:tr>
      <w:tr>
        <w:trPr>
          <w:trHeight w:val="187"/>
        </w:trPr>
        <w:tc>
          <w:tcPr>
            <w:tcW w:w="800" w:type="dxa"/>
            <w:vAlign w:val="bottom"/>
          </w:tcPr>
          <w:p>
            <w:pPr>
              <w:ind w:left="20"/>
              <w:spacing w:after="0"/>
              <w:rPr>
                <w:sz w:val="20"/>
                <w:szCs w:val="20"/>
                <w:color w:val="auto"/>
              </w:rPr>
            </w:pPr>
            <w:r>
              <w:rPr>
                <w:rFonts w:ascii="Arial" w:cs="Arial" w:eastAsia="Arial" w:hAnsi="Arial"/>
                <w:sz w:val="14"/>
                <w:szCs w:val="14"/>
                <w:color w:val="auto"/>
              </w:rPr>
              <w:t>18.</w:t>
            </w:r>
          </w:p>
        </w:tc>
        <w:tc>
          <w:tcPr>
            <w:tcW w:w="6560" w:type="dxa"/>
            <w:vAlign w:val="bottom"/>
            <w:gridSpan w:val="2"/>
          </w:tcPr>
          <w:p>
            <w:pPr>
              <w:spacing w:after="0"/>
              <w:rPr>
                <w:sz w:val="20"/>
                <w:szCs w:val="20"/>
                <w:color w:val="auto"/>
              </w:rPr>
            </w:pPr>
            <w:r>
              <w:rPr>
                <w:rFonts w:ascii="Arial" w:cs="Arial" w:eastAsia="Arial" w:hAnsi="Arial"/>
                <w:sz w:val="14"/>
                <w:szCs w:val="14"/>
                <w:color w:val="auto"/>
              </w:rPr>
              <w:t>Bank of America</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327,965</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0.79 %</w:t>
            </w:r>
          </w:p>
        </w:tc>
      </w:tr>
      <w:tr>
        <w:trPr>
          <w:trHeight w:val="19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w:t>
            </w:r>
          </w:p>
        </w:tc>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Government</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319,359</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0.77 %</w:t>
            </w:r>
          </w:p>
        </w:tc>
      </w:tr>
      <w:tr>
        <w:trPr>
          <w:trHeight w:val="184"/>
        </w:trPr>
        <w:tc>
          <w:tcPr>
            <w:tcW w:w="800" w:type="dxa"/>
            <w:vAlign w:val="bottom"/>
          </w:tcPr>
          <w:p>
            <w:pPr>
              <w:ind w:left="20"/>
              <w:spacing w:after="0"/>
              <w:rPr>
                <w:sz w:val="20"/>
                <w:szCs w:val="20"/>
                <w:color w:val="auto"/>
              </w:rPr>
            </w:pPr>
            <w:r>
              <w:rPr>
                <w:rFonts w:ascii="Arial" w:cs="Arial" w:eastAsia="Arial" w:hAnsi="Arial"/>
                <w:sz w:val="14"/>
                <w:szCs w:val="14"/>
                <w:color w:val="auto"/>
              </w:rPr>
              <w:t>20.</w:t>
            </w:r>
          </w:p>
        </w:tc>
        <w:tc>
          <w:tcPr>
            <w:tcW w:w="6560" w:type="dxa"/>
            <w:vAlign w:val="bottom"/>
            <w:gridSpan w:val="2"/>
          </w:tcPr>
          <w:p>
            <w:pPr>
              <w:spacing w:after="0"/>
              <w:rPr>
                <w:sz w:val="20"/>
                <w:szCs w:val="20"/>
                <w:color w:val="auto"/>
              </w:rPr>
            </w:pPr>
            <w:r>
              <w:rPr>
                <w:rFonts w:ascii="Arial" w:cs="Arial" w:eastAsia="Arial" w:hAnsi="Arial"/>
                <w:sz w:val="14"/>
                <w:szCs w:val="14"/>
                <w:color w:val="auto"/>
              </w:rPr>
              <w:t>Mass Financial Services</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313,584</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0.76 %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8" w:lineRule="exact"/>
        <w:rPr>
          <w:sz w:val="20"/>
          <w:szCs w:val="20"/>
          <w:color w:val="auto"/>
        </w:rPr>
      </w:pPr>
    </w:p>
    <w:p>
      <w:pPr>
        <w:ind w:left="500" w:right="320" w:hanging="292"/>
        <w:spacing w:after="0" w:line="254" w:lineRule="auto"/>
        <w:tabs>
          <w:tab w:leader="none" w:pos="49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are calculated based on our consolidated portfolio square feet, plus our share of the square feet from the unconsolidated joint ventures properties (calculated based on our ownership percentage), minus our partners’ share of square feet from our consolidated joint venture properties (calculated based upon the partners’ percentage ownership interests).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Client Diversification</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client diversification by square feet as of December 31, 2022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Sector</w:t>
            </w:r>
          </w:p>
        </w:tc>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 of In-Service Portfolio</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90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9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Technology &amp; Media</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22.3%</w:t>
            </w:r>
          </w:p>
        </w:tc>
      </w:tr>
      <w:tr>
        <w:trPr>
          <w:trHeight w:val="187"/>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color w:val="auto"/>
              </w:rPr>
              <w:t>Legal Services</w:t>
            </w:r>
          </w:p>
        </w:tc>
        <w:tc>
          <w:tcPr>
            <w:tcW w:w="1780" w:type="dxa"/>
            <w:vAlign w:val="bottom"/>
          </w:tcPr>
          <w:p>
            <w:pPr>
              <w:jc w:val="center"/>
              <w:spacing w:after="0"/>
              <w:rPr>
                <w:sz w:val="20"/>
                <w:szCs w:val="20"/>
                <w:color w:val="auto"/>
              </w:rPr>
            </w:pPr>
            <w:r>
              <w:rPr>
                <w:rFonts w:ascii="Arial" w:cs="Arial" w:eastAsia="Arial" w:hAnsi="Arial"/>
                <w:sz w:val="14"/>
                <w:szCs w:val="14"/>
                <w:color w:val="auto"/>
              </w:rPr>
              <w:t>17.2%</w:t>
            </w: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 - all other</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13.3%</w:t>
            </w:r>
          </w:p>
        </w:tc>
      </w:tr>
      <w:tr>
        <w:trPr>
          <w:trHeight w:val="187"/>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color w:val="auto"/>
              </w:rPr>
              <w:t>Real Estate &amp; Insurance</w:t>
            </w:r>
          </w:p>
        </w:tc>
        <w:tc>
          <w:tcPr>
            <w:tcW w:w="1780" w:type="dxa"/>
            <w:vAlign w:val="bottom"/>
          </w:tcPr>
          <w:p>
            <w:pPr>
              <w:jc w:val="center"/>
              <w:spacing w:after="0"/>
              <w:rPr>
                <w:sz w:val="20"/>
                <w:szCs w:val="20"/>
                <w:color w:val="auto"/>
              </w:rPr>
            </w:pPr>
            <w:r>
              <w:rPr>
                <w:rFonts w:ascii="Arial" w:cs="Arial" w:eastAsia="Arial" w:hAnsi="Arial"/>
                <w:sz w:val="14"/>
                <w:szCs w:val="14"/>
                <w:color w:val="auto"/>
              </w:rPr>
              <w:t>9.6%</w:t>
            </w: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Life Sciences</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8.6%</w:t>
            </w:r>
          </w:p>
        </w:tc>
      </w:tr>
      <w:tr>
        <w:trPr>
          <w:trHeight w:val="187"/>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color w:val="auto"/>
              </w:rPr>
              <w:t>Other Professional Services</w:t>
            </w:r>
          </w:p>
        </w:tc>
        <w:tc>
          <w:tcPr>
            <w:tcW w:w="1780" w:type="dxa"/>
            <w:vAlign w:val="bottom"/>
          </w:tcPr>
          <w:p>
            <w:pPr>
              <w:jc w:val="center"/>
              <w:spacing w:after="0"/>
              <w:rPr>
                <w:sz w:val="20"/>
                <w:szCs w:val="20"/>
                <w:color w:val="auto"/>
              </w:rPr>
            </w:pPr>
            <w:r>
              <w:rPr>
                <w:rFonts w:ascii="Arial" w:cs="Arial" w:eastAsia="Arial" w:hAnsi="Arial"/>
                <w:sz w:val="14"/>
                <w:szCs w:val="14"/>
                <w:color w:val="auto"/>
              </w:rPr>
              <w:t>7.9%</w:t>
            </w: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 - commercial &amp; investment banking</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r>
      <w:tr>
        <w:trPr>
          <w:trHeight w:val="187"/>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1780" w:type="dxa"/>
            <w:vAlign w:val="bottom"/>
          </w:tcPr>
          <w:p>
            <w:pPr>
              <w:jc w:val="center"/>
              <w:spacing w:after="0"/>
              <w:rPr>
                <w:sz w:val="20"/>
                <w:szCs w:val="20"/>
                <w:color w:val="auto"/>
              </w:rPr>
            </w:pPr>
            <w:r>
              <w:rPr>
                <w:rFonts w:ascii="Arial" w:cs="Arial" w:eastAsia="Arial" w:hAnsi="Arial"/>
                <w:sz w:val="14"/>
                <w:szCs w:val="14"/>
                <w:color w:val="auto"/>
              </w:rPr>
              <w:t>5.5%</w:t>
            </w: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w:t>
            </w:r>
          </w:p>
        </w:tc>
      </w:tr>
      <w:tr>
        <w:trPr>
          <w:trHeight w:val="187"/>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color w:val="auto"/>
              </w:rPr>
              <w:t>Government / Public Administration</w:t>
            </w:r>
          </w:p>
        </w:tc>
        <w:tc>
          <w:tcPr>
            <w:tcW w:w="1780" w:type="dxa"/>
            <w:vAlign w:val="bottom"/>
          </w:tcPr>
          <w:p>
            <w:pPr>
              <w:jc w:val="center"/>
              <w:spacing w:after="0"/>
              <w:rPr>
                <w:sz w:val="20"/>
                <w:szCs w:val="20"/>
                <w:color w:val="auto"/>
              </w:rPr>
            </w:pPr>
            <w:r>
              <w:rPr>
                <w:rFonts w:ascii="Arial" w:cs="Arial" w:eastAsia="Arial" w:hAnsi="Arial"/>
                <w:sz w:val="14"/>
                <w:szCs w:val="14"/>
                <w:color w:val="auto"/>
              </w:rPr>
              <w:t>2.9%</w:t>
            </w: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Expirations (1)(2)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Rentable</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Current Annualized</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Current Annualized</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Current Annualized</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Current Annualized</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9"/>
              </w:rPr>
              <w:t>Square Feet</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Contractual Rent Under</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Contractual Rent Under</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Contractual Rent Under</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Contractual Rent Under</w:t>
            </w:r>
          </w:p>
        </w:tc>
        <w:tc>
          <w:tcPr>
            <w:tcW w:w="142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30"/>
        </w:trPr>
        <w:tc>
          <w:tcPr>
            <w:tcW w:w="17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Year of Lease Expiration</w:t>
            </w:r>
          </w:p>
        </w:tc>
        <w:tc>
          <w:tcPr>
            <w:tcW w:w="13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6"/>
              </w:rPr>
              <w:t>Subject to Expiring</w:t>
            </w:r>
          </w:p>
        </w:tc>
        <w:tc>
          <w:tcPr>
            <w:tcW w:w="16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7"/>
              </w:rPr>
              <w:t>Expiring Leases Without</w:t>
            </w:r>
          </w:p>
        </w:tc>
        <w:tc>
          <w:tcPr>
            <w:tcW w:w="16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7"/>
              </w:rPr>
              <w:t>Expiring Leases Without</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8"/>
              </w:rPr>
              <w:t>Expiring Leases</w:t>
            </w:r>
          </w:p>
        </w:tc>
        <w:tc>
          <w:tcPr>
            <w:tcW w:w="16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7"/>
              </w:rPr>
              <w:t>Expiring Leases With</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40" w:type="dxa"/>
            <w:vAlign w:val="bottom"/>
            <w:gridSpan w:val="2"/>
            <w:vMerge w:val="continue"/>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Leases</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Future Step-Ups (3)</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Future Step-Ups p.s.f. (3)</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With Future Step-Ups (4)</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Future Step-Ups p.s.f. (4)</w:t>
            </w:r>
          </w:p>
        </w:tc>
        <w:tc>
          <w:tcPr>
            <w:tcW w:w="1420" w:type="dxa"/>
            <w:vAlign w:val="bottom"/>
          </w:tcPr>
          <w:p>
            <w:pPr>
              <w:jc w:val="right"/>
              <w:ind w:right="110"/>
              <w:spacing w:after="0"/>
              <w:rPr>
                <w:sz w:val="20"/>
                <w:szCs w:val="20"/>
                <w:color w:val="auto"/>
              </w:rPr>
            </w:pPr>
            <w:r>
              <w:rPr>
                <w:rFonts w:ascii="Arial" w:cs="Arial" w:eastAsia="Arial" w:hAnsi="Arial"/>
                <w:sz w:val="13"/>
                <w:szCs w:val="13"/>
                <w:b w:val="1"/>
                <w:bCs w:val="1"/>
                <w:color w:val="auto"/>
              </w:rPr>
              <w:t>Total Square Feet</w:t>
            </w:r>
          </w:p>
        </w:tc>
        <w:tc>
          <w:tcPr>
            <w:tcW w:w="0" w:type="dxa"/>
            <w:vAlign w:val="bottom"/>
          </w:tcPr>
          <w:p>
            <w:pPr>
              <w:spacing w:after="0"/>
              <w:rPr>
                <w:sz w:val="1"/>
                <w:szCs w:val="1"/>
                <w:color w:val="auto"/>
              </w:rPr>
            </w:pPr>
          </w:p>
        </w:tc>
      </w:tr>
      <w:tr>
        <w:trPr>
          <w:trHeight w:val="181"/>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 (5)</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142,247</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$8,743,332</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$61.47</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$8,743,332</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$61.47</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0.29 %</w:t>
            </w: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2,365,271</w:t>
            </w:r>
          </w:p>
        </w:tc>
        <w:tc>
          <w:tcPr>
            <w:tcW w:w="10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152,468,240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64.46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154,165,416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65.18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4.81 %</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3,484,836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226,746,710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229,909,224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7.09 %</w:t>
            </w: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3,153,702</w:t>
            </w:r>
          </w:p>
        </w:tc>
        <w:tc>
          <w:tcPr>
            <w:tcW w:w="10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223,623,625</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70.91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229,978,559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72.92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6.42 %</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3,426,819</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282,354,792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300,195,296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6.97 %</w:t>
            </w: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2,536,189</w:t>
            </w:r>
          </w:p>
        </w:tc>
        <w:tc>
          <w:tcPr>
            <w:tcW w:w="10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189,932,694</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206,165,952</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81.29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5.16 %</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3,613,441</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284,362,730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313,274,083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7.35 %</w:t>
            </w: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4"/>
                <w:szCs w:val="14"/>
                <w:color w:val="auto"/>
              </w:rPr>
              <w:t>2029</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3,277,617</w:t>
            </w:r>
          </w:p>
        </w:tc>
        <w:tc>
          <w:tcPr>
            <w:tcW w:w="10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244,843,567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74.70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280,496,001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85.58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6.67 %</w:t>
            </w: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2,942,040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221,302,292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244,517,304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5.99 %</w:t>
            </w: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4"/>
                <w:szCs w:val="14"/>
                <w:color w:val="auto"/>
              </w:rPr>
              <w:t>2031</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2,050,808</w:t>
            </w:r>
          </w:p>
        </w:tc>
        <w:tc>
          <w:tcPr>
            <w:tcW w:w="10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162,883,453</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79.42</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183,351,730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89.40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4.17 %</w:t>
            </w:r>
          </w:p>
        </w:tc>
        <w:tc>
          <w:tcPr>
            <w:tcW w:w="0" w:type="dxa"/>
            <w:vAlign w:val="bottom"/>
          </w:tcPr>
          <w:p>
            <w:pPr>
              <w:spacing w:after="0"/>
              <w:rPr>
                <w:sz w:val="1"/>
                <w:szCs w:val="1"/>
                <w:color w:val="auto"/>
              </w:rPr>
            </w:pPr>
          </w:p>
        </w:tc>
      </w:tr>
      <w:tr>
        <w:trPr>
          <w:trHeight w:val="192"/>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16,199,507</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1,311,792,619</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80.98</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1,606,093,642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32.96 %</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80" w:hanging="272"/>
        <w:spacing w:after="0"/>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100% of unconsolidated joint venture properties. Does not include residential units or the hotel.</w:t>
      </w:r>
    </w:p>
    <w:p>
      <w:pPr>
        <w:spacing w:after="0" w:line="4" w:lineRule="exact"/>
        <w:rPr>
          <w:rFonts w:ascii="Arial" w:cs="Arial" w:eastAsia="Arial" w:hAnsi="Arial"/>
          <w:sz w:val="14"/>
          <w:szCs w:val="14"/>
          <w:color w:val="auto"/>
        </w:rPr>
      </w:pPr>
    </w:p>
    <w:p>
      <w:pPr>
        <w:ind w:left="500" w:right="1000" w:hanging="292"/>
        <w:spacing w:after="0" w:line="256"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future lease with the replacement client expires.</w:t>
      </w:r>
    </w:p>
    <w:p>
      <w:pPr>
        <w:ind w:left="500" w:right="220" w:hanging="292"/>
        <w:spacing w:after="0" w:line="256"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monthly contractual base rent and recoveries from clients under existing leases as of December 31, 2022 multiplied by twelve. This amount reflects total rent before any rent abatements and includes expense reimbursements, which may be estimates as of such date.</w:t>
      </w:r>
    </w:p>
    <w:p>
      <w:pPr>
        <w:jc w:val="both"/>
        <w:ind w:left="500" w:right="100" w:hanging="292"/>
        <w:spacing w:after="0" w:line="253"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monthly contractual base rent under expiring leases with future contractual increases upon expiration and recoveries from clients under existing leases as of December 31, 2022 multiplied by twelve. This amount reflects total rent before any rent abatements and includes expense reimbursements, which may be estimates as of such date.</w:t>
      </w:r>
    </w:p>
    <w:p>
      <w:pPr>
        <w:ind w:left="480" w:hanging="272"/>
        <w:spacing w:after="0"/>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leases that expired on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Legal Proceedings.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subject to various legal proceedings and claims that arise in the ordinary course of business. Many of these matters are covered by insurance.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 final outcome of such matters will not have a material adverse effect on our financial position, results of operations or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168" w:lineRule="exact"/>
        <w:rPr>
          <w:sz w:val="20"/>
          <w:szCs w:val="20"/>
          <w:color w:val="auto"/>
        </w:rPr>
      </w:pPr>
    </w:p>
    <w:p>
      <w:pPr>
        <w:ind w:right="740" w:firstLine="391"/>
        <w:spacing w:after="0" w:line="253" w:lineRule="auto"/>
        <w:rPr>
          <w:sz w:val="20"/>
          <w:szCs w:val="20"/>
          <w:color w:val="auto"/>
        </w:rPr>
      </w:pPr>
      <w:r>
        <w:rPr>
          <w:rFonts w:ascii="Arial" w:cs="Arial" w:eastAsia="Arial" w:hAnsi="Arial"/>
          <w:sz w:val="16"/>
          <w:szCs w:val="16"/>
          <w:color w:val="auto"/>
        </w:rPr>
        <w:t>The common stock of Boston Properties, Inc. is listed on the New York Stock Exchange under the symbol “BXP.” At February 21, 2023, BXP had approximately 1,055 stockholders of record.</w:t>
      </w:r>
    </w:p>
    <w:p>
      <w:pPr>
        <w:spacing w:after="0" w:line="134" w:lineRule="exact"/>
        <w:rPr>
          <w:sz w:val="20"/>
          <w:szCs w:val="20"/>
          <w:color w:val="auto"/>
        </w:rPr>
      </w:pPr>
    </w:p>
    <w:p>
      <w:pPr>
        <w:ind w:right="540" w:firstLine="391"/>
        <w:spacing w:after="0" w:line="253" w:lineRule="auto"/>
        <w:rPr>
          <w:sz w:val="20"/>
          <w:szCs w:val="20"/>
          <w:color w:val="auto"/>
        </w:rPr>
      </w:pPr>
      <w:r>
        <w:rPr>
          <w:rFonts w:ascii="Arial" w:cs="Arial" w:eastAsia="Arial" w:hAnsi="Arial"/>
          <w:sz w:val="16"/>
          <w:szCs w:val="16"/>
          <w:color w:val="auto"/>
        </w:rPr>
        <w:t>There is no established public trading market for BPLP’s common units. On February 21, 2023, there were approximately 329 holders of record and 175,485,410 common units outstanding, 156,822,702 of which were held by BXP.</w:t>
      </w:r>
    </w:p>
    <w:p>
      <w:pPr>
        <w:spacing w:after="0" w:line="134"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In order to enable BXP to maintain its qualification as a REIT, it must make annual distributions to its stockholders of at least 90% of its taxable income (not including net capital gains and with certain other adjustments). BXP has adopted a policy of paying regular quarterly dividends on its common stock, and, as BPLP’s general partner, BXP has adopted a policy of paying regular quarterly distributions on common units of BPLP.</w:t>
      </w:r>
    </w:p>
    <w:p>
      <w:pPr>
        <w:spacing w:after="0" w:line="136"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Cash distributions have been paid on the common stock of BXP and BPLP’s common units since BXP’s initial public offering. Distributions are declared at the discretion of the Board of Directors of BXP and depend on actual and anticipated cash from operations, our financial condition, capital requirements, the annual distribution requirements under the REIT provisions of the Code and other factors the Board of Directors of BXP may consider relevant.</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 Performance Graph</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following graph provides a comparison of cumulative total stockholder return for the period from December 31, 2017 through December 31, 2022, among BXP, Standard &amp; Poor’s (“S&amp;P”) 500 Index, FTSE Nareit Equity REIT Total Return Index (the “Equity REIT Index”) and the FTSE Nareit Office REIT Index (the “Office REIT Index”). The Equity REIT Index includes all tax-qualified equity REITs listed on the New York Stock Exchange, the American Stock Exchange and the Nasdaq Stock Market. Equity REITs are defined as those with 75% or more of their gross invested book value of assets invested directly or indirectly in the equity ownership of real estate. The Office REIT Index includes all office REITs included in the Equity REIT Index. Data for BXP, the S&amp;P 500 Index, the Equity REIT Index and the Office REIT Index was provided to us by Nareit. Upon written request, we will provide any stockholder with a list of the REITs included in the Equity REIT Index and the Office REIT Index. The stock performance graph assumes an investment of $100 in each of BXP and the three indices, and the reinvestment of any dividends. The historical information set forth below is not necessarily indicative of future performance. The data shown is based on the share prices or index values, as applicable, at the end of each month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140335</wp:posOffset>
            </wp:positionV>
            <wp:extent cx="4064000" cy="2204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000" cy="220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the year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8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Boston Properties, Inc.</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w:t>
            </w:r>
          </w:p>
        </w:tc>
      </w:tr>
      <w:tr>
        <w:trPr>
          <w:trHeight w:val="187"/>
        </w:trPr>
        <w:tc>
          <w:tcPr>
            <w:tcW w:w="3460" w:type="dxa"/>
            <w:vAlign w:val="bottom"/>
          </w:tcPr>
          <w:p>
            <w:pPr>
              <w:spacing w:after="0"/>
              <w:rPr>
                <w:sz w:val="20"/>
                <w:szCs w:val="20"/>
                <w:color w:val="auto"/>
              </w:rPr>
            </w:pPr>
            <w:r>
              <w:rPr>
                <w:rFonts w:ascii="Arial" w:cs="Arial" w:eastAsia="Arial" w:hAnsi="Arial"/>
                <w:sz w:val="14"/>
                <w:szCs w:val="14"/>
                <w:color w:val="auto"/>
              </w:rPr>
              <w:t>S&amp;P 500 Index</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95.62</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125.72</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148.85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191.58</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156.88</w:t>
            </w:r>
          </w:p>
        </w:tc>
      </w:tr>
      <w:tr>
        <w:trPr>
          <w:trHeight w:val="19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Equity REIT Index</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158.36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119.78</w:t>
            </w:r>
          </w:p>
        </w:tc>
      </w:tr>
      <w:tr>
        <w:trPr>
          <w:trHeight w:val="184"/>
        </w:trPr>
        <w:tc>
          <w:tcPr>
            <w:tcW w:w="3460" w:type="dxa"/>
            <w:vAlign w:val="bottom"/>
          </w:tcPr>
          <w:p>
            <w:pPr>
              <w:spacing w:after="0"/>
              <w:rPr>
                <w:sz w:val="20"/>
                <w:szCs w:val="20"/>
                <w:color w:val="auto"/>
              </w:rPr>
            </w:pPr>
            <w:r>
              <w:rPr>
                <w:rFonts w:ascii="Arial" w:cs="Arial" w:eastAsia="Arial" w:hAnsi="Arial"/>
                <w:sz w:val="14"/>
                <w:szCs w:val="14"/>
                <w:color w:val="auto"/>
              </w:rPr>
              <w:t>Office REIT Index</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85.50</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112.36</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91.65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111.81</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69.75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66" w:lineRule="exact"/>
        <w:rPr>
          <w:sz w:val="20"/>
          <w:szCs w:val="20"/>
          <w:color w:val="auto"/>
        </w:rPr>
      </w:pPr>
    </w:p>
    <w:p>
      <w:pPr>
        <w:ind w:left="620" w:hanging="234"/>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None.</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Issuer Purchases of Equity Securities.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7"/>
              </w:rPr>
              <w:t>(a)</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6"/>
              </w:rPr>
              <w:t>Total Number of</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400"/>
              <w:spacing w:after="0" w:line="131" w:lineRule="exact"/>
              <w:rPr>
                <w:sz w:val="20"/>
                <w:szCs w:val="20"/>
                <w:color w:val="auto"/>
              </w:rPr>
            </w:pPr>
            <w:r>
              <w:rPr>
                <w:rFonts w:ascii="Arial" w:cs="Arial" w:eastAsia="Arial" w:hAnsi="Arial"/>
                <w:sz w:val="13"/>
                <w:szCs w:val="13"/>
                <w:b w:val="1"/>
                <w:bCs w:val="1"/>
                <w:color w:val="auto"/>
                <w:w w:val="96"/>
              </w:rPr>
              <w:t>Total Number of</w:t>
            </w: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7"/>
              </w:rPr>
              <w:t>Shares Purchased as</w:t>
            </w: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Maximum Number (or</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400"/>
              <w:spacing w:after="0" w:line="143" w:lineRule="exact"/>
              <w:rPr>
                <w:sz w:val="20"/>
                <w:szCs w:val="20"/>
                <w:color w:val="auto"/>
              </w:rPr>
            </w:pPr>
            <w:r>
              <w:rPr>
                <w:rFonts w:ascii="Arial" w:cs="Arial" w:eastAsia="Arial" w:hAnsi="Arial"/>
                <w:sz w:val="13"/>
                <w:szCs w:val="13"/>
                <w:b w:val="1"/>
                <w:bCs w:val="1"/>
                <w:color w:val="auto"/>
                <w:w w:val="97"/>
              </w:rPr>
              <w:t>Shares of Common</w:t>
            </w:r>
          </w:p>
        </w:tc>
        <w:tc>
          <w:tcPr>
            <w:tcW w:w="340" w:type="dxa"/>
            <w:vAlign w:val="bottom"/>
          </w:tcPr>
          <w:p>
            <w:pPr>
              <w:spacing w:after="0"/>
              <w:rPr>
                <w:sz w:val="12"/>
                <w:szCs w:val="12"/>
                <w:color w:val="auto"/>
              </w:rPr>
            </w:pPr>
          </w:p>
        </w:tc>
        <w:tc>
          <w:tcPr>
            <w:tcW w:w="122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6"/>
              </w:rPr>
              <w:t>(b)</w:t>
            </w:r>
          </w:p>
        </w:tc>
        <w:tc>
          <w:tcPr>
            <w:tcW w:w="16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7"/>
              </w:rPr>
              <w:t>Part of Publicly</w:t>
            </w:r>
          </w:p>
        </w:tc>
        <w:tc>
          <w:tcPr>
            <w:tcW w:w="14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6"/>
              </w:rPr>
              <w:t>Approximate Dollar</w:t>
            </w:r>
          </w:p>
        </w:tc>
        <w:tc>
          <w:tcPr>
            <w:tcW w:w="0" w:type="dxa"/>
            <w:vAlign w:val="bottom"/>
          </w:tcPr>
          <w:p>
            <w:pPr>
              <w:spacing w:after="0"/>
              <w:rPr>
                <w:sz w:val="1"/>
                <w:szCs w:val="1"/>
                <w:color w:val="auto"/>
              </w:rPr>
            </w:pPr>
          </w:p>
        </w:tc>
      </w:tr>
      <w:tr>
        <w:trPr>
          <w:trHeight w:val="130"/>
        </w:trPr>
        <w:tc>
          <w:tcPr>
            <w:tcW w:w="4620" w:type="dxa"/>
            <w:vAlign w:val="bottom"/>
            <w:vMerge w:val="restart"/>
          </w:tcPr>
          <w:p>
            <w:pPr>
              <w:ind w:left="2120"/>
              <w:spacing w:after="0"/>
              <w:rPr>
                <w:sz w:val="20"/>
                <w:szCs w:val="20"/>
                <w:color w:val="auto"/>
              </w:rPr>
            </w:pPr>
            <w:r>
              <w:rPr>
                <w:rFonts w:ascii="Arial" w:cs="Arial" w:eastAsia="Arial" w:hAnsi="Arial"/>
                <w:sz w:val="13"/>
                <w:szCs w:val="13"/>
                <w:b w:val="1"/>
                <w:bCs w:val="1"/>
                <w:color w:val="auto"/>
              </w:rPr>
              <w:t>Period</w:t>
            </w:r>
          </w:p>
        </w:tc>
        <w:tc>
          <w:tcPr>
            <w:tcW w:w="240" w:type="dxa"/>
            <w:vAlign w:val="bottom"/>
            <w:vMerge w:val="restart"/>
          </w:tcPr>
          <w:p>
            <w:pPr>
              <w:spacing w:after="0"/>
              <w:rPr>
                <w:sz w:val="11"/>
                <w:szCs w:val="11"/>
                <w:color w:val="auto"/>
              </w:rPr>
            </w:pPr>
          </w:p>
        </w:tc>
        <w:tc>
          <w:tcPr>
            <w:tcW w:w="1720" w:type="dxa"/>
            <w:vAlign w:val="bottom"/>
            <w:gridSpan w:val="2"/>
          </w:tcPr>
          <w:p>
            <w:pPr>
              <w:jc w:val="center"/>
              <w:ind w:right="420"/>
              <w:spacing w:after="0" w:line="131" w:lineRule="exact"/>
              <w:rPr>
                <w:sz w:val="20"/>
                <w:szCs w:val="20"/>
                <w:color w:val="auto"/>
              </w:rPr>
            </w:pPr>
            <w:r>
              <w:rPr>
                <w:rFonts w:ascii="Arial" w:cs="Arial" w:eastAsia="Arial" w:hAnsi="Arial"/>
                <w:sz w:val="13"/>
                <w:szCs w:val="13"/>
                <w:b w:val="1"/>
                <w:bCs w:val="1"/>
                <w:color w:val="auto"/>
                <w:w w:val="95"/>
              </w:rPr>
              <w:t>Stock</w:t>
            </w:r>
          </w:p>
        </w:tc>
        <w:tc>
          <w:tcPr>
            <w:tcW w:w="1560" w:type="dxa"/>
            <w:vAlign w:val="bottom"/>
            <w:gridSpan w:val="3"/>
          </w:tcPr>
          <w:p>
            <w:pPr>
              <w:jc w:val="center"/>
              <w:ind w:right="220"/>
              <w:spacing w:after="0" w:line="131" w:lineRule="exact"/>
              <w:rPr>
                <w:sz w:val="20"/>
                <w:szCs w:val="20"/>
                <w:color w:val="auto"/>
              </w:rPr>
            </w:pPr>
            <w:r>
              <w:rPr>
                <w:rFonts w:ascii="Arial" w:cs="Arial" w:eastAsia="Arial" w:hAnsi="Arial"/>
                <w:sz w:val="13"/>
                <w:szCs w:val="13"/>
                <w:b w:val="1"/>
                <w:bCs w:val="1"/>
                <w:color w:val="auto"/>
                <w:w w:val="96"/>
              </w:rPr>
              <w:t>Average Price Paid</w:t>
            </w:r>
          </w:p>
        </w:tc>
        <w:tc>
          <w:tcPr>
            <w:tcW w:w="16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6"/>
              </w:rPr>
              <w:t>Announced Plans or</w:t>
            </w: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Value) of Shares that</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4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per Common Share</w:t>
            </w:r>
          </w:p>
        </w:tc>
        <w:tc>
          <w:tcPr>
            <w:tcW w:w="2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Programs</w:t>
            </w:r>
          </w:p>
        </w:tc>
        <w:tc>
          <w:tcPr>
            <w:tcW w:w="2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May Yet be Purchased</w:t>
            </w:r>
          </w:p>
        </w:tc>
        <w:tc>
          <w:tcPr>
            <w:tcW w:w="0" w:type="dxa"/>
            <w:vAlign w:val="bottom"/>
          </w:tcPr>
          <w:p>
            <w:pPr>
              <w:spacing w:after="0"/>
              <w:rPr>
                <w:sz w:val="1"/>
                <w:szCs w:val="1"/>
                <w:color w:val="auto"/>
              </w:rPr>
            </w:pPr>
          </w:p>
        </w:tc>
      </w:tr>
      <w:tr>
        <w:trPr>
          <w:trHeight w:val="198"/>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1, 2022 – October 31, 2022</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November 1, 2022 – November 30, 2022</w:t>
            </w:r>
          </w:p>
        </w:tc>
        <w:tc>
          <w:tcPr>
            <w:tcW w:w="17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440" w:type="dxa"/>
            <w:vAlign w:val="bottom"/>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2022 – December 31, 2022</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845 (1)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9"/>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420" w:type="dxa"/>
            <w:vAlign w:val="bottom"/>
          </w:tcPr>
          <w:p>
            <w:pPr>
              <w:spacing w:after="0"/>
              <w:rPr>
                <w:sz w:val="15"/>
                <w:szCs w:val="15"/>
                <w:color w:val="auto"/>
              </w:rPr>
            </w:pPr>
          </w:p>
        </w:tc>
        <w:tc>
          <w:tcPr>
            <w:tcW w:w="3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5"/>
                <w:szCs w:val="15"/>
                <w:color w:val="auto"/>
              </w:rPr>
            </w:pPr>
          </w:p>
        </w:tc>
        <w:tc>
          <w:tcPr>
            <w:tcW w:w="1440" w:type="dxa"/>
            <w:vAlign w:val="bottom"/>
            <w:tcBorders>
              <w:top w:val="single" w:sz="8" w:color="auto"/>
            </w:tcBorders>
          </w:tcPr>
          <w:p>
            <w:pPr>
              <w:ind w:left="118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440" w:type="dxa"/>
            <w:vAlign w:val="bottom"/>
            <w:tcBorders>
              <w:top w:val="single" w:sz="8" w:color="auto"/>
            </w:tcBorders>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560" w:hanging="281"/>
        <w:spacing w:after="0" w:line="250" w:lineRule="auto"/>
        <w:tabs>
          <w:tab w:leader="none" w:pos="556" w:val="left"/>
        </w:tabs>
        <w:numPr>
          <w:ilvl w:val="0"/>
          <w:numId w:val="57"/>
        </w:numPr>
        <w:rPr>
          <w:rFonts w:ascii="Arial" w:cs="Arial" w:eastAsia="Arial" w:hAnsi="Arial"/>
          <w:sz w:val="14"/>
          <w:szCs w:val="14"/>
          <w:color w:val="auto"/>
        </w:rPr>
      </w:pPr>
      <w:r>
        <w:rPr>
          <w:rFonts w:ascii="Arial" w:cs="Arial" w:eastAsia="Arial" w:hAnsi="Arial"/>
          <w:sz w:val="16"/>
          <w:szCs w:val="16"/>
          <w:color w:val="auto"/>
        </w:rPr>
        <w:t>Includes 845 shares of restricted common stock of BXP repurchased in connection with the termination of an employee’s employment with BXP. Under the terms of the applicable restricted stock award agreements, the shares were repurchased by BXP at a price of $0.01 per share, which was the amount originally paid by such employee for such shares.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66" w:lineRule="exact"/>
        <w:rPr>
          <w:sz w:val="20"/>
          <w:szCs w:val="20"/>
          <w:color w:val="auto"/>
        </w:rPr>
      </w:pPr>
    </w:p>
    <w:p>
      <w:pPr>
        <w:ind w:left="620" w:hanging="23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None.</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Issuer Purchases of Equity Securities.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(a)</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5"/>
              </w:rPr>
              <w:t>Total Number of Units</w:t>
            </w: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Maximum Number (or</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6"/>
              </w:rPr>
              <w:t>Total Number of</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500"/>
              <w:spacing w:after="0" w:line="143" w:lineRule="exact"/>
              <w:rPr>
                <w:sz w:val="20"/>
                <w:szCs w:val="20"/>
                <w:color w:val="auto"/>
              </w:rPr>
            </w:pPr>
            <w:r>
              <w:rPr>
                <w:rFonts w:ascii="Arial" w:cs="Arial" w:eastAsia="Arial" w:hAnsi="Arial"/>
                <w:sz w:val="13"/>
                <w:szCs w:val="13"/>
                <w:b w:val="1"/>
                <w:bCs w:val="1"/>
                <w:color w:val="auto"/>
                <w:w w:val="96"/>
              </w:rPr>
              <w:t>(b)</w:t>
            </w:r>
          </w:p>
        </w:tc>
        <w:tc>
          <w:tcPr>
            <w:tcW w:w="16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7"/>
              </w:rPr>
              <w:t>Purchased as Part of</w:t>
            </w:r>
          </w:p>
        </w:tc>
        <w:tc>
          <w:tcPr>
            <w:tcW w:w="14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6"/>
              </w:rPr>
              <w:t>Approximate Dollar</w:t>
            </w: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Units</w:t>
            </w:r>
          </w:p>
        </w:tc>
        <w:tc>
          <w:tcPr>
            <w:tcW w:w="420" w:type="dxa"/>
            <w:vAlign w:val="bottom"/>
          </w:tcPr>
          <w:p>
            <w:pPr>
              <w:spacing w:after="0"/>
              <w:rPr>
                <w:sz w:val="11"/>
                <w:szCs w:val="11"/>
                <w:color w:val="auto"/>
              </w:rPr>
            </w:pPr>
          </w:p>
        </w:tc>
        <w:tc>
          <w:tcPr>
            <w:tcW w:w="1560" w:type="dxa"/>
            <w:vAlign w:val="bottom"/>
            <w:gridSpan w:val="3"/>
          </w:tcPr>
          <w:p>
            <w:pPr>
              <w:jc w:val="center"/>
              <w:ind w:right="220"/>
              <w:spacing w:after="0" w:line="131" w:lineRule="exact"/>
              <w:rPr>
                <w:sz w:val="20"/>
                <w:szCs w:val="20"/>
                <w:color w:val="auto"/>
              </w:rPr>
            </w:pPr>
            <w:r>
              <w:rPr>
                <w:rFonts w:ascii="Arial" w:cs="Arial" w:eastAsia="Arial" w:hAnsi="Arial"/>
                <w:sz w:val="13"/>
                <w:szCs w:val="13"/>
                <w:b w:val="1"/>
                <w:bCs w:val="1"/>
                <w:color w:val="auto"/>
                <w:w w:val="96"/>
              </w:rPr>
              <w:t>Average Price Paid</w:t>
            </w:r>
          </w:p>
        </w:tc>
        <w:tc>
          <w:tcPr>
            <w:tcW w:w="16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7"/>
              </w:rPr>
              <w:t>Publicly Announced</w:t>
            </w: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Value) of Units that</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Period</w:t>
            </w:r>
          </w:p>
        </w:tc>
        <w:tc>
          <w:tcPr>
            <w:tcW w:w="2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b w:val="1"/>
                <w:bCs w:val="1"/>
                <w:color w:val="auto"/>
                <w:w w:val="97"/>
              </w:rPr>
              <w:t>per Unit</w:t>
            </w:r>
          </w:p>
        </w:tc>
        <w:tc>
          <w:tcPr>
            <w:tcW w:w="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Plans or Programs</w:t>
            </w:r>
          </w:p>
        </w:tc>
        <w:tc>
          <w:tcPr>
            <w:tcW w:w="2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May Yet be Purchased</w:t>
            </w:r>
          </w:p>
        </w:tc>
        <w:tc>
          <w:tcPr>
            <w:tcW w:w="0" w:type="dxa"/>
            <w:vAlign w:val="bottom"/>
          </w:tcPr>
          <w:p>
            <w:pPr>
              <w:spacing w:after="0"/>
              <w:rPr>
                <w:sz w:val="1"/>
                <w:szCs w:val="1"/>
                <w:color w:val="auto"/>
              </w:rPr>
            </w:pPr>
          </w:p>
        </w:tc>
      </w:tr>
      <w:tr>
        <w:trPr>
          <w:trHeight w:val="198"/>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1, 2022 – October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November 1, 2022 – November 30, 2022</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440" w:type="dxa"/>
            <w:vAlign w:val="bottom"/>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1, 2022 – December 31, 2022</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4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color w:val="auto"/>
              </w:rPr>
              <w:t>2,196</w:t>
            </w:r>
          </w:p>
        </w:tc>
        <w:tc>
          <w:tcPr>
            <w:tcW w:w="42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0.16</w:t>
            </w:r>
          </w:p>
        </w:tc>
        <w:tc>
          <w:tcPr>
            <w:tcW w:w="240" w:type="dxa"/>
            <w:vAlign w:val="bottom"/>
          </w:tcPr>
          <w:p>
            <w:pPr>
              <w:spacing w:after="0"/>
              <w:rPr>
                <w:sz w:val="15"/>
                <w:szCs w:val="15"/>
                <w:color w:val="auto"/>
              </w:rPr>
            </w:pPr>
          </w:p>
        </w:tc>
        <w:tc>
          <w:tcPr>
            <w:tcW w:w="166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440" w:type="dxa"/>
            <w:vAlign w:val="bottom"/>
          </w:tcPr>
          <w:p>
            <w:pPr>
              <w:ind w:left="1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4" w:lineRule="exact"/>
        <w:rPr>
          <w:sz w:val="20"/>
          <w:szCs w:val="20"/>
          <w:color w:val="auto"/>
        </w:rPr>
      </w:pPr>
    </w:p>
    <w:p>
      <w:pPr>
        <w:ind w:left="560" w:right="80" w:hanging="281"/>
        <w:spacing w:after="0" w:line="248" w:lineRule="auto"/>
        <w:tabs>
          <w:tab w:leader="none" w:pos="556" w:val="left"/>
        </w:tabs>
        <w:numPr>
          <w:ilvl w:val="0"/>
          <w:numId w:val="59"/>
        </w:numPr>
        <w:rPr>
          <w:rFonts w:ascii="Arial" w:cs="Arial" w:eastAsia="Arial" w:hAnsi="Arial"/>
          <w:sz w:val="14"/>
          <w:szCs w:val="14"/>
          <w:color w:val="auto"/>
        </w:rPr>
      </w:pPr>
      <w:r>
        <w:rPr>
          <w:rFonts w:ascii="Arial" w:cs="Arial" w:eastAsia="Arial" w:hAnsi="Arial"/>
          <w:sz w:val="16"/>
          <w:szCs w:val="16"/>
          <w:color w:val="auto"/>
        </w:rPr>
        <w:t>Includes 845 common units previously held by BXP that were redeemed in connection with the repurchase of shares of restricted common stock of BXP in connection with the termination of an employee’s employment with BXP and 948 LTIP units, 229 2021 MYLTIP Units and 174 2022 MYLTIP Units that were repurchased by BPLP in connection with the termination of certain employees’ employment with BXP. Under the terms of the applicable restricted stock award agreements, LTIP unit vesting agreements, 2021 MYLTIP award agreement and 2022 MYLTIP award agreement, the shares were repurchased at a price of $0.01 per share and the LTIP units, 2021 MYLTIP units and 2022 MYLTIP units were repurchased at a price of $0.25 per unit, which were the amounts originally paid by such employee for such shares and units.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Reserved</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139"/>
          </w:cols>
          <w:pgMar w:left="320" w:top="281" w:right="1440"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should be read in conjunction with the financial statements and notes thereto appearing elsewhere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7" w:lineRule="exact"/>
        <w:rPr>
          <w:sz w:val="20"/>
          <w:szCs w:val="20"/>
          <w:color w:val="auto"/>
        </w:rPr>
      </w:pPr>
    </w:p>
    <w:p>
      <w:pPr>
        <w:ind w:firstLine="356"/>
        <w:spacing w:after="0" w:line="247" w:lineRule="auto"/>
        <w:rPr>
          <w:sz w:val="20"/>
          <w:szCs w:val="20"/>
          <w:color w:val="auto"/>
        </w:rPr>
      </w:pPr>
      <w:r>
        <w:rPr>
          <w:rFonts w:ascii="Arial" w:cs="Arial" w:eastAsia="Arial" w:hAnsi="Arial"/>
          <w:sz w:val="16"/>
          <w:szCs w:val="16"/>
          <w:color w:val="auto"/>
        </w:rPr>
        <w:t xml:space="preserve">This Annual Report on Form 10-K, including the documents incorporated by reference, contain forward-looking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The forward-looking statements are contained principally, but not only, under the captions </w:t>
      </w:r>
      <w:r>
        <w:rPr>
          <w:rFonts w:ascii="Arial" w:cs="Arial" w:eastAsia="Arial" w:hAnsi="Arial"/>
          <w:sz w:val="16"/>
          <w:szCs w:val="16"/>
          <w:color w:val="212529"/>
        </w:rPr>
        <w:t>“Business—Business and Growth Strategies,”</w:t>
      </w:r>
      <w:r>
        <w:rPr>
          <w:rFonts w:ascii="Arial" w:cs="Arial" w:eastAsia="Arial" w:hAnsi="Arial"/>
          <w:sz w:val="16"/>
          <w:szCs w:val="16"/>
          <w:color w:val="auto"/>
        </w:rPr>
        <w:t xml:space="preserve">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46" w:lineRule="exact"/>
        <w:rPr>
          <w:sz w:val="20"/>
          <w:szCs w:val="20"/>
          <w:color w:val="auto"/>
        </w:rPr>
      </w:pPr>
    </w:p>
    <w:p>
      <w:pPr>
        <w:ind w:right="20" w:firstLine="356"/>
        <w:spacing w:after="0" w:line="248" w:lineRule="auto"/>
        <w:rPr>
          <w:sz w:val="20"/>
          <w:szCs w:val="20"/>
          <w:color w:val="auto"/>
        </w:rPr>
      </w:pPr>
      <w:r>
        <w:rPr>
          <w:rFonts w:ascii="Arial" w:cs="Arial" w:eastAsia="Arial" w:hAnsi="Arial"/>
          <w:sz w:val="16"/>
          <w:szCs w:val="16"/>
          <w:color w:val="auto"/>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increasing interest rates, supply chain disruptions, labor market disruptions, dislocation and volatility in capital markets, and potential longer-term changes in consumer and client behavior resulting from the severity and duration of any downturn in the U.S. or global economy, as well as the other important factors below and the risks set forth in this Form 10-K in Part I, Item 1A.</w:t>
      </w:r>
    </w:p>
    <w:p>
      <w:pPr>
        <w:spacing w:after="0" w:line="140" w:lineRule="exact"/>
        <w:rPr>
          <w:sz w:val="20"/>
          <w:szCs w:val="20"/>
          <w:color w:val="auto"/>
        </w:rPr>
      </w:pPr>
    </w:p>
    <w:p>
      <w:pPr>
        <w:ind w:right="120" w:firstLine="356"/>
        <w:spacing w:after="0" w:line="253" w:lineRule="auto"/>
        <w:rPr>
          <w:sz w:val="20"/>
          <w:szCs w:val="20"/>
          <w:color w:val="auto"/>
        </w:rPr>
      </w:pPr>
      <w:r>
        <w:rPr>
          <w:rFonts w:ascii="Arial" w:cs="Arial" w:eastAsia="Arial" w:hAnsi="Arial"/>
          <w:sz w:val="16"/>
          <w:szCs w:val="16"/>
          <w:color w:val="auto"/>
        </w:rPr>
        <w:t>Some of the risks and uncertainties that may cause our actual results, performance or achievements to differ materially from those expressed or implied by forward-looking statements include, among others, the following:</w:t>
      </w:r>
    </w:p>
    <w:p>
      <w:pPr>
        <w:spacing w:after="0" w:line="74" w:lineRule="exact"/>
        <w:rPr>
          <w:sz w:val="20"/>
          <w:szCs w:val="20"/>
          <w:color w:val="auto"/>
        </w:rPr>
      </w:pPr>
    </w:p>
    <w:p>
      <w:pPr>
        <w:jc w:val="both"/>
        <w:ind w:left="1140" w:right="300" w:hanging="576"/>
        <w:spacing w:after="0" w:line="250"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volatile or adverse global economic and geopolitical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88" w:lineRule="exact"/>
        <w:rPr>
          <w:rFonts w:ascii="Arial" w:cs="Arial" w:eastAsia="Arial" w:hAnsi="Arial"/>
          <w:sz w:val="16"/>
          <w:szCs w:val="16"/>
          <w:color w:val="auto"/>
        </w:rPr>
      </w:pPr>
    </w:p>
    <w:p>
      <w:pPr>
        <w:ind w:left="1140" w:right="180" w:hanging="576"/>
        <w:spacing w:after="0" w:line="253"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risks associated with downturns in the national and local economies, continued inflation, increasing interest rates, and volatility in the securities markets;</w:t>
      </w:r>
    </w:p>
    <w:p>
      <w:pPr>
        <w:spacing w:after="0" w:line="86" w:lineRule="exact"/>
        <w:rPr>
          <w:rFonts w:ascii="Arial" w:cs="Arial" w:eastAsia="Arial" w:hAnsi="Arial"/>
          <w:sz w:val="16"/>
          <w:szCs w:val="16"/>
          <w:color w:val="auto"/>
        </w:rPr>
      </w:pPr>
    </w:p>
    <w:p>
      <w:pPr>
        <w:ind w:left="1140" w:right="240" w:hanging="576"/>
        <w:spacing w:after="0" w:line="250"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spacing w:after="0" w:line="88" w:lineRule="exact"/>
        <w:rPr>
          <w:rFonts w:ascii="Arial" w:cs="Arial" w:eastAsia="Arial" w:hAnsi="Arial"/>
          <w:sz w:val="16"/>
          <w:szCs w:val="16"/>
          <w:color w:val="auto"/>
        </w:rPr>
      </w:pPr>
    </w:p>
    <w:p>
      <w:pPr>
        <w:ind w:left="1120" w:hanging="556"/>
        <w:spacing w:after="0"/>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of geopolitical conflicts, including the ongoing war in Ukraine;</w:t>
      </w:r>
    </w:p>
    <w:p>
      <w:pPr>
        <w:spacing w:after="0" w:line="100" w:lineRule="exact"/>
        <w:rPr>
          <w:rFonts w:ascii="Arial" w:cs="Arial" w:eastAsia="Arial" w:hAnsi="Arial"/>
          <w:sz w:val="16"/>
          <w:szCs w:val="16"/>
          <w:color w:val="auto"/>
        </w:rPr>
      </w:pPr>
    </w:p>
    <w:p>
      <w:pPr>
        <w:ind w:left="1140" w:right="180" w:hanging="576"/>
        <w:spacing w:after="0" w:line="249"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immediate and long-term impact of the outbreak of a highly infectious or contagious disease, such as COVID-19,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w:t>
      </w:r>
    </w:p>
    <w:p>
      <w:pPr>
        <w:spacing w:after="0" w:line="89" w:lineRule="exact"/>
        <w:rPr>
          <w:rFonts w:ascii="Arial" w:cs="Arial" w:eastAsia="Arial" w:hAnsi="Arial"/>
          <w:sz w:val="16"/>
          <w:szCs w:val="16"/>
          <w:color w:val="auto"/>
        </w:rPr>
      </w:pPr>
    </w:p>
    <w:p>
      <w:pPr>
        <w:ind w:left="1140" w:right="620" w:hanging="576"/>
        <w:spacing w:after="0" w:line="253"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failure to manage effectively our growth and expansion into new markets and sub-markets or to integrate acquisitions and developments successfully;</w:t>
      </w:r>
    </w:p>
    <w:p>
      <w:pPr>
        <w:spacing w:after="0" w:line="86" w:lineRule="exact"/>
        <w:rPr>
          <w:rFonts w:ascii="Arial" w:cs="Arial" w:eastAsia="Arial" w:hAnsi="Arial"/>
          <w:sz w:val="16"/>
          <w:szCs w:val="16"/>
          <w:color w:val="auto"/>
        </w:rPr>
      </w:pPr>
    </w:p>
    <w:p>
      <w:pPr>
        <w:ind w:left="1120" w:hanging="556"/>
        <w:spacing w:after="0"/>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ability of our joint venture partners to satisfy their obligations;</w:t>
      </w:r>
    </w:p>
    <w:p>
      <w:pPr>
        <w:spacing w:after="0" w:line="100" w:lineRule="exact"/>
        <w:rPr>
          <w:rFonts w:ascii="Arial" w:cs="Arial" w:eastAsia="Arial" w:hAnsi="Arial"/>
          <w:sz w:val="16"/>
          <w:szCs w:val="16"/>
          <w:color w:val="auto"/>
        </w:rPr>
      </w:pPr>
    </w:p>
    <w:p>
      <w:pPr>
        <w:ind w:left="1140" w:right="580" w:hanging="576"/>
        <w:spacing w:after="0" w:line="250"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1140" w:right="560"/>
        <w:spacing w:after="0" w:line="253" w:lineRule="auto"/>
        <w:rPr>
          <w:sz w:val="20"/>
          <w:szCs w:val="20"/>
          <w:color w:val="auto"/>
        </w:rPr>
      </w:pPr>
      <w:r>
        <w:rPr>
          <w:rFonts w:ascii="Arial" w:cs="Arial" w:eastAsia="Arial" w:hAnsi="Arial"/>
          <w:sz w:val="16"/>
          <w:szCs w:val="16"/>
          <w:color w:val="auto"/>
        </w:rPr>
        <w:t>considerations that may result in negotiated lease provisions that limit a client’s liability during construction, and public opposition to such activities);</w:t>
      </w:r>
    </w:p>
    <w:p>
      <w:pPr>
        <w:spacing w:after="0" w:line="86" w:lineRule="exact"/>
        <w:rPr>
          <w:sz w:val="20"/>
          <w:szCs w:val="20"/>
          <w:color w:val="auto"/>
        </w:rPr>
      </w:pPr>
    </w:p>
    <w:p>
      <w:pPr>
        <w:ind w:left="1140" w:right="420" w:hanging="576"/>
        <w:spacing w:after="0" w:line="253" w:lineRule="auto"/>
        <w:tabs>
          <w:tab w:leader="none" w:pos="11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86"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forward interest rate contracts and the effectiveness of such arrangements;</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actual or threatened terrorist attacks;</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costs of compliance with the Americans with Disabilities Act and other similar laws;</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potential liability for uninsured losses and environmental contamination;</w:t>
      </w:r>
    </w:p>
    <w:p>
      <w:pPr>
        <w:spacing w:after="0" w:line="100" w:lineRule="exact"/>
        <w:rPr>
          <w:rFonts w:ascii="Arial" w:cs="Arial" w:eastAsia="Arial" w:hAnsi="Arial"/>
          <w:sz w:val="16"/>
          <w:szCs w:val="16"/>
          <w:color w:val="auto"/>
        </w:rPr>
      </w:pPr>
    </w:p>
    <w:p>
      <w:pPr>
        <w:ind w:left="1140" w:right="480" w:hanging="576"/>
        <w:spacing w:after="0" w:line="253" w:lineRule="auto"/>
        <w:tabs>
          <w:tab w:leader="none" w:pos="11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climate change and severe weather events, as well as the regulatory efforts intended to reduce the effects of climate change;</w:t>
      </w:r>
    </w:p>
    <w:p>
      <w:pPr>
        <w:spacing w:after="0" w:line="86" w:lineRule="exact"/>
        <w:rPr>
          <w:rFonts w:ascii="Arial" w:cs="Arial" w:eastAsia="Arial" w:hAnsi="Arial"/>
          <w:sz w:val="16"/>
          <w:szCs w:val="16"/>
          <w:color w:val="auto"/>
        </w:rPr>
      </w:pPr>
    </w:p>
    <w:p>
      <w:pPr>
        <w:ind w:left="1140" w:right="520" w:hanging="576"/>
        <w:spacing w:after="0" w:line="253" w:lineRule="auto"/>
        <w:tabs>
          <w:tab w:leader="none" w:pos="11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86"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BXP’s potential failure to qualify as a REIT under the Internal Revenue Code of 1986, as amended;</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possible adverse changes in tax and environmental laws;</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impact of newly adopted accounting principles on our accounting policies and on period-to-period comparisons of financial results;</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possible state and local tax audits; and</w:t>
      </w:r>
    </w:p>
    <w:p>
      <w:pPr>
        <w:spacing w:after="0" w:line="100" w:lineRule="exact"/>
        <w:rPr>
          <w:rFonts w:ascii="Arial" w:cs="Arial" w:eastAsia="Arial" w:hAnsi="Arial"/>
          <w:sz w:val="16"/>
          <w:szCs w:val="16"/>
          <w:color w:val="auto"/>
        </w:rPr>
      </w:pPr>
    </w:p>
    <w:p>
      <w:pPr>
        <w:ind w:left="1120" w:hanging="556"/>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associated with our dependence on key personnel whose continued service is not guaranteed.</w:t>
      </w:r>
    </w:p>
    <w:p>
      <w:pPr>
        <w:spacing w:after="0" w:line="203" w:lineRule="exact"/>
        <w:rPr>
          <w:sz w:val="20"/>
          <w:szCs w:val="20"/>
          <w:color w:val="auto"/>
        </w:rPr>
      </w:pPr>
    </w:p>
    <w:p>
      <w:pPr>
        <w:ind w:firstLine="356"/>
        <w:spacing w:after="0" w:line="250" w:lineRule="auto"/>
        <w:rPr>
          <w:sz w:val="20"/>
          <w:szCs w:val="20"/>
          <w:color w:val="auto"/>
        </w:rPr>
      </w:pPr>
      <w:r>
        <w:rPr>
          <w:rFonts w:ascii="Arial" w:cs="Arial" w:eastAsia="Arial" w:hAnsi="Arial"/>
          <w:sz w:val="16"/>
          <w:szCs w:val="16"/>
          <w:color w:val="auto"/>
        </w:rPr>
        <w:t xml:space="preserve">The risks set forth above are not exhaustive. Other sections of this report, including </w:t>
      </w:r>
      <w:r>
        <w:rPr>
          <w:rFonts w:ascii="Arial" w:cs="Arial" w:eastAsia="Arial" w:hAnsi="Arial"/>
          <w:sz w:val="16"/>
          <w:szCs w:val="16"/>
          <w:i w:val="1"/>
          <w:iCs w:val="1"/>
          <w:color w:val="auto"/>
        </w:rPr>
        <w:t>“Part I, Item 1A—Risk Factors,”</w:t>
      </w:r>
      <w:r>
        <w:rPr>
          <w:rFonts w:ascii="Arial" w:cs="Arial" w:eastAsia="Arial" w:hAnsi="Arial"/>
          <w:sz w:val="16"/>
          <w:szCs w:val="16"/>
          <w:color w:val="auto"/>
        </w:rPr>
        <w:t xml:space="preserve">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97" w:lineRule="exact"/>
        <w:rPr>
          <w:sz w:val="20"/>
          <w:szCs w:val="20"/>
          <w:color w:val="auto"/>
        </w:rPr>
      </w:pPr>
    </w:p>
    <w:p>
      <w:pPr>
        <w:ind w:right="40" w:firstLine="356"/>
        <w:spacing w:after="0" w:line="267" w:lineRule="auto"/>
        <w:rPr>
          <w:sz w:val="20"/>
          <w:szCs w:val="20"/>
          <w:color w:val="auto"/>
        </w:rPr>
      </w:pPr>
      <w:r>
        <w:rPr>
          <w:rFonts w:ascii="Arial" w:cs="Arial" w:eastAsia="Arial" w:hAnsi="Arial"/>
          <w:sz w:val="15"/>
          <w:szCs w:val="15"/>
          <w:color w:val="auto"/>
        </w:rPr>
        <w:t>BXP is one of the largest publicly traded office real estate investment trusts (REITs) (based on total market capitalization as of December 31, 2022) in the United States that develops, owns, and manages primarily premier workplaces. Our properties are concentrated in six dynamic gateway markets in the United States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56"/>
        <w:spacing w:after="0" w:line="248" w:lineRule="auto"/>
        <w:rPr>
          <w:sz w:val="20"/>
          <w:szCs w:val="20"/>
          <w:color w:val="auto"/>
        </w:rPr>
      </w:pPr>
      <w:r>
        <w:rPr>
          <w:rFonts w:ascii="Arial" w:cs="Arial" w:eastAsia="Arial" w:hAnsi="Arial"/>
          <w:sz w:val="16"/>
          <w:szCs w:val="16"/>
          <w:color w:val="auto"/>
        </w:rPr>
        <w:t>Our core strategy has always been to develop, acquire and manage premier workplaces in gateway markets with high barriers-to-entry and attractive demand drivers, and to focus on executing long-term leases with financially strong clients. Our client base is diverse across market sectors and the weighted-average lease term for our in-place leases, excluding residential units, was approximately 7.9 years, as of December 31, 2022, including leases signed by our unconsolidated joint ventures. The weighted-average lease term for our 20 largest clients, based on leased square footage, was approximately 10.7 years as of December 31, 2022.</w:t>
      </w:r>
    </w:p>
    <w:p>
      <w:pPr>
        <w:spacing w:after="0" w:line="175" w:lineRule="exact"/>
        <w:rPr>
          <w:sz w:val="20"/>
          <w:szCs w:val="20"/>
          <w:color w:val="auto"/>
        </w:rPr>
      </w:pPr>
    </w:p>
    <w:p>
      <w:pPr>
        <w:ind w:right="120" w:firstLine="356"/>
        <w:spacing w:after="0" w:line="253" w:lineRule="auto"/>
        <w:rPr>
          <w:sz w:val="20"/>
          <w:szCs w:val="20"/>
          <w:color w:val="auto"/>
        </w:rPr>
      </w:pPr>
      <w:r>
        <w:rPr>
          <w:rFonts w:ascii="Arial" w:cs="Arial" w:eastAsia="Arial" w:hAnsi="Arial"/>
          <w:sz w:val="16"/>
          <w:szCs w:val="16"/>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74" w:lineRule="exact"/>
        <w:rPr>
          <w:sz w:val="20"/>
          <w:szCs w:val="20"/>
          <w:color w:val="auto"/>
        </w:rPr>
      </w:pPr>
    </w:p>
    <w:p>
      <w:pPr>
        <w:ind w:left="700" w:hanging="279"/>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understanding of our client’s short- and long-term space utilization and amenity needs in the local markets;</w:t>
      </w:r>
    </w:p>
    <w:p>
      <w:pPr>
        <w:spacing w:after="0" w:line="88" w:lineRule="exact"/>
        <w:rPr>
          <w:rFonts w:ascii="Arial" w:cs="Arial" w:eastAsia="Arial" w:hAnsi="Arial"/>
          <w:sz w:val="16"/>
          <w:szCs w:val="16"/>
          <w:color w:val="auto"/>
        </w:rPr>
      </w:pPr>
    </w:p>
    <w:p>
      <w:pPr>
        <w:ind w:left="700" w:hanging="279"/>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track record of developing and operating premier workplaces in a sustainable and responsible manner;</w:t>
      </w:r>
    </w:p>
    <w:p>
      <w:pPr>
        <w:spacing w:after="0" w:line="76" w:lineRule="exact"/>
        <w:rPr>
          <w:rFonts w:ascii="Arial" w:cs="Arial" w:eastAsia="Arial" w:hAnsi="Arial"/>
          <w:sz w:val="16"/>
          <w:szCs w:val="16"/>
          <w:color w:val="auto"/>
        </w:rPr>
      </w:pPr>
    </w:p>
    <w:p>
      <w:pPr>
        <w:ind w:left="700" w:hanging="279"/>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reputation as a high quality developer, owner and manager of premier workplaces in our markets;</w:t>
      </w:r>
    </w:p>
    <w:p>
      <w:pPr>
        <w:spacing w:after="0" w:line="88" w:lineRule="exact"/>
        <w:rPr>
          <w:rFonts w:ascii="Arial" w:cs="Arial" w:eastAsia="Arial" w:hAnsi="Arial"/>
          <w:sz w:val="16"/>
          <w:szCs w:val="16"/>
          <w:color w:val="auto"/>
        </w:rPr>
      </w:pPr>
    </w:p>
    <w:p>
      <w:pPr>
        <w:ind w:left="700" w:hanging="279"/>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financial strength and our ability to maintain high building standards; and</w:t>
      </w:r>
    </w:p>
    <w:p>
      <w:pPr>
        <w:spacing w:after="0" w:line="76" w:lineRule="exact"/>
        <w:rPr>
          <w:rFonts w:ascii="Arial" w:cs="Arial" w:eastAsia="Arial" w:hAnsi="Arial"/>
          <w:sz w:val="16"/>
          <w:szCs w:val="16"/>
          <w:color w:val="auto"/>
        </w:rPr>
      </w:pPr>
    </w:p>
    <w:p>
      <w:pPr>
        <w:ind w:left="700" w:hanging="279"/>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relationships with local brokers.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Outlook</w:t>
      </w:r>
    </w:p>
    <w:p>
      <w:pPr>
        <w:spacing w:after="0" w:line="105" w:lineRule="exact"/>
        <w:rPr>
          <w:sz w:val="20"/>
          <w:szCs w:val="20"/>
          <w:color w:val="auto"/>
        </w:rPr>
      </w:pPr>
    </w:p>
    <w:p>
      <w:pPr>
        <w:ind w:right="60" w:firstLine="356"/>
        <w:spacing w:after="0" w:line="269" w:lineRule="auto"/>
        <w:rPr>
          <w:sz w:val="20"/>
          <w:szCs w:val="20"/>
          <w:color w:val="auto"/>
        </w:rPr>
      </w:pPr>
      <w:r>
        <w:rPr>
          <w:rFonts w:ascii="Arial" w:cs="Arial" w:eastAsia="Arial" w:hAnsi="Arial"/>
          <w:sz w:val="15"/>
          <w:szCs w:val="15"/>
          <w:color w:val="auto"/>
        </w:rPr>
        <w:t>The inflation experienced in 2022 has slowly decreased but remains high. The Federal Reserve is expected to continue to increase interest rates, although likely at a more moderate pace, in an effort to bring prices under control. This, coupled with the discussion surrounding raising the U.S. debt ceiling could cause further turmoil in the financial markets. There have already been signs of this strain with announcements of staff reductions from large- and medium-sized employers. While the initial announcements were largely concentrated in the technology sectors, companies in the finance industry, the legal industry and broader corporate America are now announcing similar layoffs. This evolving operating environment impacts various aspects of our operating activities as:</w:t>
      </w:r>
    </w:p>
    <w:p>
      <w:pPr>
        <w:spacing w:after="0" w:line="64" w:lineRule="exact"/>
        <w:rPr>
          <w:sz w:val="20"/>
          <w:szCs w:val="20"/>
          <w:color w:val="auto"/>
        </w:rPr>
      </w:pPr>
    </w:p>
    <w:p>
      <w:pPr>
        <w:ind w:left="700" w:hanging="279"/>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business leaders may generally become more reticent to make large capital allocation decisions, such as entry into a new lease;</w:t>
      </w:r>
    </w:p>
    <w:p>
      <w:pPr>
        <w:spacing w:after="0" w:line="76" w:lineRule="exact"/>
        <w:rPr>
          <w:rFonts w:ascii="Arial" w:cs="Arial" w:eastAsia="Arial" w:hAnsi="Arial"/>
          <w:sz w:val="16"/>
          <w:szCs w:val="16"/>
          <w:color w:val="auto"/>
        </w:rPr>
      </w:pPr>
    </w:p>
    <w:p>
      <w:pPr>
        <w:ind w:left="700" w:hanging="279"/>
        <w:spacing w:after="0" w:line="253" w:lineRule="auto"/>
        <w:tabs>
          <w:tab w:leader="none" w:pos="6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labor market conditions shift resulting in increasing employer demands for mandatory in-person workdays and gradual increases in space utilization by our clients;</w:t>
      </w:r>
    </w:p>
    <w:p>
      <w:pPr>
        <w:spacing w:after="0" w:line="74" w:lineRule="exact"/>
        <w:rPr>
          <w:rFonts w:ascii="Arial" w:cs="Arial" w:eastAsia="Arial" w:hAnsi="Arial"/>
          <w:sz w:val="16"/>
          <w:szCs w:val="16"/>
          <w:color w:val="auto"/>
        </w:rPr>
      </w:pPr>
    </w:p>
    <w:p>
      <w:pPr>
        <w:ind w:left="700" w:right="140" w:hanging="279"/>
        <w:spacing w:after="0" w:line="253" w:lineRule="auto"/>
        <w:tabs>
          <w:tab w:leader="none" w:pos="6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capital costs have increased due to higher interest rates and credit spreads, and private market debt financing, both for construction and existing assets, is significantly more challenging to arrange; and</w:t>
      </w:r>
    </w:p>
    <w:p>
      <w:pPr>
        <w:spacing w:after="0" w:line="74" w:lineRule="exact"/>
        <w:rPr>
          <w:rFonts w:ascii="Arial" w:cs="Arial" w:eastAsia="Arial" w:hAnsi="Arial"/>
          <w:sz w:val="16"/>
          <w:szCs w:val="16"/>
          <w:color w:val="auto"/>
        </w:rPr>
      </w:pPr>
    </w:p>
    <w:p>
      <w:pPr>
        <w:ind w:left="700" w:right="100" w:hanging="279"/>
        <w:spacing w:after="0" w:line="253" w:lineRule="auto"/>
        <w:tabs>
          <w:tab w:leader="none" w:pos="6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construction costs have increased for new development and, although the costs for our active development pipeline are, at this stage, relatively fixed, the cost of potential future developments continues to increase.</w:t>
      </w:r>
    </w:p>
    <w:p>
      <w:pPr>
        <w:spacing w:after="0" w:line="134" w:lineRule="exact"/>
        <w:rPr>
          <w:sz w:val="20"/>
          <w:szCs w:val="20"/>
          <w:color w:val="auto"/>
        </w:rPr>
      </w:pPr>
    </w:p>
    <w:p>
      <w:pPr>
        <w:ind w:right="60" w:firstLine="356"/>
        <w:spacing w:after="0" w:line="250" w:lineRule="auto"/>
        <w:rPr>
          <w:sz w:val="20"/>
          <w:szCs w:val="20"/>
          <w:color w:val="auto"/>
        </w:rPr>
      </w:pPr>
      <w:r>
        <w:rPr>
          <w:rFonts w:ascii="Arial" w:cs="Arial" w:eastAsia="Arial" w:hAnsi="Arial"/>
          <w:sz w:val="16"/>
          <w:szCs w:val="16"/>
          <w:color w:val="auto"/>
        </w:rPr>
        <w:t>In light of the foregoing, we believe we are positioning ourselves for success, notwithstanding the uncertain trajectory of the U.S. and global economies, by managing our leverage while continuing to selectively invest (including both acquisitions and developments) in premier workplace opportunities. We remain focused on the following priorities:</w:t>
      </w:r>
    </w:p>
    <w:p>
      <w:pPr>
        <w:spacing w:after="0" w:line="65" w:lineRule="exact"/>
        <w:rPr>
          <w:sz w:val="20"/>
          <w:szCs w:val="20"/>
          <w:color w:val="auto"/>
        </w:rPr>
      </w:pPr>
    </w:p>
    <w:p>
      <w:pPr>
        <w:ind w:left="700" w:right="20" w:hanging="279"/>
        <w:spacing w:after="0" w:line="249" w:lineRule="auto"/>
        <w:tabs>
          <w:tab w:leader="none" w:pos="696"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continuing to embrace our leadership position in the premier workplace industry and leveraging our strength in portfolio quality, client relationships, development skills, market penetration and sustainability to profitably build market share. Premier workplaces, the preferred choice for our current and prospective clients, are gaining market share compared to general office space and demonstrating the highest occupancy, net absorption levels and rental rates in the central business district (“CBD”) markets where we operate;</w:t>
      </w:r>
    </w:p>
    <w:p>
      <w:pPr>
        <w:spacing w:after="0" w:line="77" w:lineRule="exact"/>
        <w:rPr>
          <w:rFonts w:ascii="Arial" w:cs="Arial" w:eastAsia="Arial" w:hAnsi="Arial"/>
          <w:sz w:val="16"/>
          <w:szCs w:val="16"/>
          <w:color w:val="auto"/>
        </w:rPr>
      </w:pPr>
    </w:p>
    <w:p>
      <w:pPr>
        <w:ind w:left="700" w:hanging="279"/>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leasing available space in our in-service and development properties, as well as proactively focusing on future lease expirations;</w:t>
      </w:r>
    </w:p>
    <w:p>
      <w:pPr>
        <w:spacing w:after="0" w:line="88" w:lineRule="exact"/>
        <w:rPr>
          <w:rFonts w:ascii="Arial" w:cs="Arial" w:eastAsia="Arial" w:hAnsi="Arial"/>
          <w:sz w:val="16"/>
          <w:szCs w:val="16"/>
          <w:color w:val="auto"/>
        </w:rPr>
      </w:pPr>
    </w:p>
    <w:p>
      <w:pPr>
        <w:ind w:left="700" w:hanging="279"/>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completing the construction and leasing of our development properties;</w:t>
      </w:r>
    </w:p>
    <w:p>
      <w:pPr>
        <w:spacing w:after="0" w:line="76" w:lineRule="exact"/>
        <w:rPr>
          <w:rFonts w:ascii="Arial" w:cs="Arial" w:eastAsia="Arial" w:hAnsi="Arial"/>
          <w:sz w:val="16"/>
          <w:szCs w:val="16"/>
          <w:color w:val="auto"/>
        </w:rPr>
      </w:pPr>
    </w:p>
    <w:p>
      <w:pPr>
        <w:ind w:left="700" w:hanging="279"/>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pursuing attractive asset class adjacencies where we have a track record of success, such as life sciences and residential development;</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700" w:right="360" w:hanging="279"/>
        <w:spacing w:after="0" w:line="253" w:lineRule="auto"/>
        <w:tabs>
          <w:tab w:leader="none" w:pos="696"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continuing to raise the bar in the quality of our portfolio and actively recycling capital by selling assets, subject to market conditions, which may be negatively impacted by a slowdown in the capital markets and the limited availability of private market debt financing;</w:t>
      </w:r>
    </w:p>
    <w:p>
      <w:pPr>
        <w:spacing w:after="0" w:line="62" w:lineRule="exact"/>
        <w:rPr>
          <w:rFonts w:ascii="Arial" w:cs="Arial" w:eastAsia="Arial" w:hAnsi="Arial"/>
          <w:sz w:val="16"/>
          <w:szCs w:val="16"/>
          <w:color w:val="auto"/>
        </w:rPr>
      </w:pPr>
    </w:p>
    <w:p>
      <w:pPr>
        <w:ind w:left="700" w:hanging="279"/>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actively managing our operations in a sustainable and responsible manner; and</w:t>
      </w:r>
    </w:p>
    <w:p>
      <w:pPr>
        <w:spacing w:after="0" w:line="88" w:lineRule="exact"/>
        <w:rPr>
          <w:rFonts w:ascii="Arial" w:cs="Arial" w:eastAsia="Arial" w:hAnsi="Arial"/>
          <w:sz w:val="16"/>
          <w:szCs w:val="16"/>
          <w:color w:val="auto"/>
        </w:rPr>
      </w:pPr>
    </w:p>
    <w:p>
      <w:pPr>
        <w:ind w:left="700" w:right="20" w:hanging="279"/>
        <w:spacing w:after="0" w:line="253" w:lineRule="auto"/>
        <w:tabs>
          <w:tab w:leader="none" w:pos="696"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prioritizing risk management by actively managing liquidity, investing more extensively with joint venture partners to manage our debt levels, and being highly selective in new investment commitments.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an overview of leasing and investment activity in the fourth quarter of 2022.</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Leasing Activity and Occupancy</w:t>
      </w:r>
    </w:p>
    <w:p>
      <w:pPr>
        <w:spacing w:after="0" w:line="93" w:lineRule="exact"/>
        <w:rPr>
          <w:sz w:val="20"/>
          <w:szCs w:val="20"/>
          <w:color w:val="auto"/>
        </w:rPr>
      </w:pPr>
    </w:p>
    <w:p>
      <w:pPr>
        <w:ind w:right="120" w:firstLine="356"/>
        <w:spacing w:after="0" w:line="249" w:lineRule="auto"/>
        <w:rPr>
          <w:sz w:val="20"/>
          <w:szCs w:val="20"/>
          <w:color w:val="auto"/>
        </w:rPr>
      </w:pPr>
      <w:r>
        <w:rPr>
          <w:rFonts w:ascii="Arial" w:cs="Arial" w:eastAsia="Arial" w:hAnsi="Arial"/>
          <w:sz w:val="16"/>
          <w:szCs w:val="16"/>
          <w:color w:val="auto"/>
        </w:rPr>
        <w:t>In the fourth quarter of 2022, we signed approximately 1.1 million square feet of new leases and renewals, for a total of approximately 5.7 million square feet leased in 2022, which is 95% of our average annual leasing volume over the last ten years. The leases executed in the fourth quarter and full year 2022 have a weighted-average lease term of approximately 7.8 years and 9.2 years, respectively, indicating that many new and existing clients continue to commit to the long-term use of space and view our properties as their preferred choice for a premier workplace environment.</w:t>
      </w:r>
    </w:p>
    <w:p>
      <w:pPr>
        <w:spacing w:after="0" w:line="137" w:lineRule="exact"/>
        <w:rPr>
          <w:sz w:val="20"/>
          <w:szCs w:val="20"/>
          <w:color w:val="auto"/>
        </w:rPr>
      </w:pPr>
    </w:p>
    <w:p>
      <w:pPr>
        <w:ind w:firstLine="356"/>
        <w:spacing w:after="0" w:line="249" w:lineRule="auto"/>
        <w:rPr>
          <w:sz w:val="20"/>
          <w:szCs w:val="20"/>
          <w:color w:val="auto"/>
        </w:rPr>
      </w:pPr>
      <w:r>
        <w:rPr>
          <w:rFonts w:ascii="Arial" w:cs="Arial" w:eastAsia="Arial" w:hAnsi="Arial"/>
          <w:sz w:val="16"/>
          <w:szCs w:val="16"/>
          <w:color w:val="auto"/>
        </w:rPr>
        <w:t>The overall occupancy of our in-service office and retail properties was 88.6% at December 31, 2022, a decrease of 30 basis points from September 30, 2022. The decrease in occupancy is primarily due to fully placing in-service Reston Next and 880 Winter Street, which have leases for which revenue recognition has not commenced in accordance with GAAP. Excluding the impact of placing these two properties in-service, occupancy would have increased in the fourth quarter of 2022 by 20 basis points to 89.1%.</w:t>
      </w:r>
    </w:p>
    <w:p>
      <w:pPr>
        <w:spacing w:after="0" w:line="137" w:lineRule="exact"/>
        <w:rPr>
          <w:sz w:val="20"/>
          <w:szCs w:val="20"/>
          <w:color w:val="auto"/>
        </w:rPr>
      </w:pPr>
    </w:p>
    <w:p>
      <w:pPr>
        <w:jc w:val="both"/>
        <w:ind w:right="40" w:firstLine="356"/>
        <w:spacing w:after="0" w:line="271" w:lineRule="auto"/>
        <w:rPr>
          <w:sz w:val="20"/>
          <w:szCs w:val="20"/>
          <w:color w:val="auto"/>
        </w:rPr>
      </w:pPr>
      <w:r>
        <w:rPr>
          <w:rFonts w:ascii="Arial" w:cs="Arial" w:eastAsia="Arial" w:hAnsi="Arial"/>
          <w:sz w:val="15"/>
          <w:szCs w:val="15"/>
          <w:color w:val="auto"/>
        </w:rPr>
        <w:t>The macroeconomic environment has resulted in softening demand in all of our markets. While property tours continue and leases under negotiation move forward, there is less urgency from clients to make new commitments. Potential clients touring space acknowledge that economic uncertainty is impacting space decisions. As we consider our expectations for leasing in 2023, we have factored in the impacts of a slower economy, softer business performance, and reduced demand for space. We expect the bulk of our leasing in 2023 will continue to come from small- and medium-sized professional and financial services firms.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Investment Activity</w:t>
      </w:r>
    </w:p>
    <w:p>
      <w:pPr>
        <w:spacing w:after="0" w:line="105" w:lineRule="exact"/>
        <w:rPr>
          <w:sz w:val="20"/>
          <w:szCs w:val="20"/>
          <w:color w:val="auto"/>
        </w:rPr>
      </w:pPr>
    </w:p>
    <w:p>
      <w:pPr>
        <w:ind w:right="20" w:firstLine="356"/>
        <w:spacing w:after="0" w:line="248" w:lineRule="auto"/>
        <w:rPr>
          <w:sz w:val="20"/>
          <w:szCs w:val="20"/>
          <w:color w:val="auto"/>
        </w:rPr>
      </w:pPr>
      <w:r>
        <w:rPr>
          <w:rFonts w:ascii="Arial" w:cs="Arial" w:eastAsia="Arial" w:hAnsi="Arial"/>
          <w:sz w:val="16"/>
          <w:szCs w:val="16"/>
          <w:color w:val="auto"/>
        </w:rPr>
        <w:t>Although the real estate capital markets for office assets has slowed substantially with U.S. transaction volume down 40% in the fourth quarter of 2022 from the third quarter of 2022, we remain committed to developing and acquiring assets to enhance our long-term growth and to meet client demand for premier workplaces, life sciences, retail and residential space. We continually evaluate current and prospective markets for possible acquisitions of “value-add” assets that require lease-up or repositioning, and acquisitions that are otherwise consistent with our long-term strategy of owning, managing, developing, and improving premier workplaces in each of our chosen markets.</w:t>
      </w:r>
    </w:p>
    <w:p>
      <w:pPr>
        <w:spacing w:after="0" w:line="140" w:lineRule="exact"/>
        <w:rPr>
          <w:sz w:val="20"/>
          <w:szCs w:val="20"/>
          <w:color w:val="auto"/>
        </w:rPr>
      </w:pPr>
    </w:p>
    <w:p>
      <w:pPr>
        <w:ind w:firstLine="356"/>
        <w:spacing w:after="0" w:line="248" w:lineRule="auto"/>
        <w:rPr>
          <w:sz w:val="20"/>
          <w:szCs w:val="20"/>
          <w:color w:val="auto"/>
        </w:rPr>
      </w:pPr>
      <w:r>
        <w:rPr>
          <w:rFonts w:ascii="Arial" w:cs="Arial" w:eastAsia="Arial" w:hAnsi="Arial"/>
          <w:sz w:val="16"/>
          <w:szCs w:val="16"/>
          <w:color w:val="auto"/>
        </w:rPr>
        <w:t>Consistent with this strategy, in 2022, we purchased an aggregate of approximately $1.6 billion (our share) of premier workplaces, including life sciences, and an interest in an unconsolidated joint venture that owns a premier workplace. In the fourth quarter of 2022, we acquired a 26.69% interest in the joint venture that owns 200 Fifth Avenue, a 14-story, approximately 855,000 square-foot, LEED Gold certified, premier workplace located in New York City that is approximately 93% leased as of December 31, 2022. The acquisition of the joint venture interest is our second investment in the vibrant Midtown South neighborhood. We serve as the managing member and provide customary leasing and property management services for the joint venture. We closed on the interest in the joint venture for a gross purchase price of approximately $280.2 million, which includes $120.1 million of cash and our pro rata share of the outstanding loan secured by the property of $160.1 million. The mortgage loan bears interest at a variable rate equal to LIBOR plus 1.30% per annum and matures on November 24, 2028. The joint venture has interest rate swap contracts through June 2028, resulting in a fixed rate of approximately 4.34% per annum through the expiration of the interest rate swap contracts.</w:t>
      </w:r>
    </w:p>
    <w:p>
      <w:pPr>
        <w:spacing w:after="0" w:line="138" w:lineRule="exact"/>
        <w:rPr>
          <w:sz w:val="20"/>
          <w:szCs w:val="20"/>
          <w:color w:val="auto"/>
        </w:rPr>
      </w:pPr>
    </w:p>
    <w:p>
      <w:pPr>
        <w:ind w:right="20" w:firstLine="356"/>
        <w:spacing w:after="0" w:line="248" w:lineRule="auto"/>
        <w:rPr>
          <w:sz w:val="20"/>
          <w:szCs w:val="20"/>
          <w:color w:val="auto"/>
        </w:rPr>
      </w:pPr>
      <w:r>
        <w:rPr>
          <w:rFonts w:ascii="Arial" w:cs="Arial" w:eastAsia="Arial" w:hAnsi="Arial"/>
          <w:sz w:val="16"/>
          <w:szCs w:val="16"/>
          <w:color w:val="auto"/>
        </w:rPr>
        <w:t>As of December 31, 2022, our development/redevelopment pipeline consisted of 13 properties that, when completed, we expect will total approximately 3.2 million net rentable square feet. Our share of the estimated total cost for these projects is approximately $1.9 billion, of which approximately $729.1 million remains to be invested. In January 2023, BXP commenced the development of 290 Binney Street and the redevelopment of 300 Binney Street at Kendall Center in Cambridge, Massachusetts. Including projects that commenced in January 2023, we had 15 properties under development or redevelopment which, excluding View Boston at The Prudential Center and</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Reston Next Residential, are 52% pre-leased as of February 21, 2023. Our share of the estimated total cost for these projects is approximately $3.3 billion.</w:t>
      </w:r>
    </w:p>
    <w:p>
      <w:pPr>
        <w:spacing w:after="0" w:line="148" w:lineRule="exact"/>
        <w:rPr>
          <w:sz w:val="20"/>
          <w:szCs w:val="20"/>
          <w:color w:val="auto"/>
        </w:rPr>
      </w:pPr>
    </w:p>
    <w:p>
      <w:pPr>
        <w:ind w:right="40" w:firstLine="356"/>
        <w:spacing w:after="0" w:line="248" w:lineRule="auto"/>
        <w:rPr>
          <w:sz w:val="20"/>
          <w:szCs w:val="20"/>
          <w:color w:val="auto"/>
        </w:rPr>
      </w:pPr>
      <w:r>
        <w:rPr>
          <w:rFonts w:ascii="Arial" w:cs="Arial" w:eastAsia="Arial" w:hAnsi="Arial"/>
          <w:sz w:val="16"/>
          <w:szCs w:val="16"/>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In the fourth quarter of 2022, we completed the disposition of The Avant at Reston Town Center for a gross sale price of $141.0 million. The Avant at Reston Town Center a is a 15-story, approximately 329,000 square foot, excluding retail space, 359-unit, luxury residential building located in Reston, Virginia. BXP retained ownership of the approximately 26,000 square foot ground-level retail space.</w:t>
      </w:r>
    </w:p>
    <w:p>
      <w:pPr>
        <w:spacing w:after="0" w:line="140" w:lineRule="exact"/>
        <w:rPr>
          <w:sz w:val="20"/>
          <w:szCs w:val="20"/>
          <w:color w:val="auto"/>
        </w:rPr>
      </w:pPr>
    </w:p>
    <w:p>
      <w:pPr>
        <w:ind w:right="80" w:firstLine="356"/>
        <w:spacing w:after="0" w:line="253" w:lineRule="auto"/>
        <w:rPr>
          <w:sz w:val="20"/>
          <w:szCs w:val="20"/>
          <w:color w:val="auto"/>
        </w:rPr>
      </w:pPr>
      <w:r>
        <w:rPr>
          <w:rFonts w:ascii="Arial" w:cs="Arial" w:eastAsia="Arial" w:hAnsi="Arial"/>
          <w:sz w:val="16"/>
          <w:szCs w:val="16"/>
          <w:color w:val="auto"/>
        </w:rPr>
        <w:t>Including the sale of the residential component of The Avant at Reston Town Center, BXP completed the disposition of 14 properties and two land parcels, for an aggregate gross sale price of approximately $864.2 million, in 2022.</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brief overview of each of our markets follows.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Boston</w:t>
      </w:r>
    </w:p>
    <w:p>
      <w:pPr>
        <w:spacing w:after="0" w:line="105" w:lineRule="exact"/>
        <w:rPr>
          <w:sz w:val="20"/>
          <w:szCs w:val="20"/>
          <w:color w:val="auto"/>
        </w:rPr>
      </w:pPr>
    </w:p>
    <w:p>
      <w:pPr>
        <w:jc w:val="both"/>
        <w:ind w:firstLine="356"/>
        <w:spacing w:after="0" w:line="250" w:lineRule="auto"/>
        <w:rPr>
          <w:sz w:val="20"/>
          <w:szCs w:val="20"/>
          <w:color w:val="auto"/>
        </w:rPr>
      </w:pPr>
      <w:r>
        <w:rPr>
          <w:rFonts w:ascii="Arial" w:cs="Arial" w:eastAsia="Arial" w:hAnsi="Arial"/>
          <w:sz w:val="16"/>
          <w:szCs w:val="16"/>
          <w:color w:val="auto"/>
        </w:rPr>
        <w:t>During the fourth quarter of 2022, we executed approximately 287,000 square feet of leases and approximately 476,000 square feet of leases commenced in the Boston region. Approximately 245,000 square feet of the leases that commenced had been vacant for less than one year and represent an increase in net rental obligations of approximately 22% over the prior leases.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Boston CBD in-service portfolio was approximately 94% leased as of December 31, 2022.</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approximately 2.7 million square foot in-service office portfolio in Cambridge was approximately 96% leased as of December 31, 2022.</w:t>
      </w:r>
    </w:p>
    <w:p>
      <w:pPr>
        <w:spacing w:after="0" w:line="148" w:lineRule="exact"/>
        <w:rPr>
          <w:sz w:val="20"/>
          <w:szCs w:val="20"/>
          <w:color w:val="auto"/>
        </w:rPr>
      </w:pPr>
    </w:p>
    <w:p>
      <w:pPr>
        <w:ind w:right="240" w:firstLine="356"/>
        <w:spacing w:after="0" w:line="248" w:lineRule="auto"/>
        <w:rPr>
          <w:sz w:val="20"/>
          <w:szCs w:val="20"/>
          <w:color w:val="auto"/>
        </w:rPr>
      </w:pPr>
      <w:r>
        <w:rPr>
          <w:rFonts w:ascii="Arial" w:cs="Arial" w:eastAsia="Arial" w:hAnsi="Arial"/>
          <w:sz w:val="16"/>
          <w:szCs w:val="16"/>
          <w:color w:val="auto"/>
        </w:rPr>
        <w:t>In January 2023, BXP commenced the development of 290 Binney Street and the redevelopment of 300 Binney Street at Kendall Center in Cambridge, Massachusetts for an estimated total investment of approximately $1.4 billion. 290 Binney Street is an approximately 566,000 net rentable square foot laboratory/life sciences project that is 100% pre-leased to AstraZeneca. Concurrent with the commencement of this project, BXP removed from service and began demolition of the existing Kendall Center Blue Parking Garage to support the development of this project. 300 Binney Street is a conversion of an approximately 195,000 net rentable square foot property into an approximately 240,000 net rentable square foot laboratory/life sciences property. 300 Binney Street is 100% pre-leased to a life sciences organization.</w:t>
      </w:r>
    </w:p>
    <w:p>
      <w:pPr>
        <w:spacing w:after="0" w:line="139" w:lineRule="exact"/>
        <w:rPr>
          <w:sz w:val="20"/>
          <w:szCs w:val="20"/>
          <w:color w:val="auto"/>
        </w:rPr>
      </w:pPr>
    </w:p>
    <w:p>
      <w:pPr>
        <w:ind w:firstLine="356"/>
        <w:spacing w:after="0" w:line="250" w:lineRule="auto"/>
        <w:rPr>
          <w:sz w:val="20"/>
          <w:szCs w:val="20"/>
          <w:color w:val="auto"/>
        </w:rPr>
      </w:pPr>
      <w:r>
        <w:rPr>
          <w:rFonts w:ascii="Arial" w:cs="Arial" w:eastAsia="Arial" w:hAnsi="Arial"/>
          <w:sz w:val="16"/>
          <w:szCs w:val="16"/>
          <w:color w:val="auto"/>
        </w:rPr>
        <w:t>Our Route 128-Mass Turnpike portfolio is comprised of approximately 4.9 million square feet and was approximately 81% leased as of December 31, 2022. On December 23, 2022, we fully placed in-service 880 Winter Street, an approximately 244,000 square foot laboratory/life sciences project located in Waltham, Massachusetts. Including leases that have not yet commenced, 880 Winter Street is 97% pre-leased as of February 21, 2023.</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Los Angeles</w:t>
      </w:r>
    </w:p>
    <w:p>
      <w:pPr>
        <w:spacing w:after="0" w:line="93" w:lineRule="exact"/>
        <w:rPr>
          <w:sz w:val="20"/>
          <w:szCs w:val="20"/>
          <w:color w:val="auto"/>
        </w:rPr>
      </w:pPr>
    </w:p>
    <w:p>
      <w:pPr>
        <w:ind w:right="360" w:firstLine="356"/>
        <w:spacing w:after="0" w:line="250" w:lineRule="auto"/>
        <w:rPr>
          <w:sz w:val="20"/>
          <w:szCs w:val="20"/>
          <w:color w:val="auto"/>
        </w:rPr>
      </w:pPr>
      <w:r>
        <w:rPr>
          <w:rFonts w:ascii="Arial" w:cs="Arial" w:eastAsia="Arial" w:hAnsi="Arial"/>
          <w:sz w:val="16"/>
          <w:szCs w:val="16"/>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December 31, 2022, our LA in-service properties were approximately 88% leased.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New York</w:t>
      </w:r>
    </w:p>
    <w:p>
      <w:pPr>
        <w:spacing w:after="0" w:line="105" w:lineRule="exact"/>
        <w:rPr>
          <w:sz w:val="20"/>
          <w:szCs w:val="20"/>
          <w:color w:val="auto"/>
        </w:rPr>
      </w:pPr>
    </w:p>
    <w:p>
      <w:pPr>
        <w:ind w:firstLine="356"/>
        <w:spacing w:after="0" w:line="249" w:lineRule="auto"/>
        <w:rPr>
          <w:sz w:val="20"/>
          <w:szCs w:val="20"/>
          <w:color w:val="auto"/>
        </w:rPr>
      </w:pPr>
      <w:r>
        <w:rPr>
          <w:rFonts w:ascii="Arial" w:cs="Arial" w:eastAsia="Arial" w:hAnsi="Arial"/>
          <w:sz w:val="16"/>
          <w:szCs w:val="16"/>
          <w:color w:val="auto"/>
        </w:rPr>
        <w:t>During the fourth quarter of 2022, we executed approximately 304,000 square feet of leases in the New York region and approximately 148,000 square feet of leases commenced. Approximately 107,000 square feet of the leases that commenced in the fourth quarter had been vacant for less than one year and they represent a decrease in net rental obligations of approximately 17% over the prior leases. As of December 31, 2022, our New York CBD in-service portfolio was approximately 88% leased.</w:t>
      </w:r>
    </w:p>
    <w:p>
      <w:pPr>
        <w:spacing w:after="0" w:line="137" w:lineRule="exact"/>
        <w:rPr>
          <w:sz w:val="20"/>
          <w:szCs w:val="20"/>
          <w:color w:val="auto"/>
        </w:rPr>
      </w:pPr>
    </w:p>
    <w:p>
      <w:pPr>
        <w:ind w:right="80" w:firstLine="356"/>
        <w:spacing w:after="0" w:line="250" w:lineRule="auto"/>
        <w:rPr>
          <w:sz w:val="20"/>
          <w:szCs w:val="20"/>
          <w:color w:val="auto"/>
        </w:rPr>
      </w:pPr>
      <w:r>
        <w:rPr>
          <w:rFonts w:ascii="Arial" w:cs="Arial" w:eastAsia="Arial" w:hAnsi="Arial"/>
          <w:sz w:val="16"/>
          <w:szCs w:val="16"/>
          <w:color w:val="auto"/>
        </w:rPr>
        <w:t>On November 30, 2022, we commenced the redevelopment of 105 Carnegie Center, located in Princeton, New Jersey. 105 Carnegie Center is an approximately 70,000 square foot property that will be redeveloped into an approximately 73,000 square foot laboratory/life sciences space. Life science clients have already been reviewing the opportunity.</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San Francisco</w:t>
      </w:r>
    </w:p>
    <w:p>
      <w:pPr>
        <w:spacing w:after="0" w:line="105" w:lineRule="exact"/>
        <w:rPr>
          <w:sz w:val="20"/>
          <w:szCs w:val="20"/>
          <w:color w:val="auto"/>
        </w:rPr>
      </w:pPr>
    </w:p>
    <w:p>
      <w:pPr>
        <w:jc w:val="both"/>
        <w:ind w:right="80" w:firstLine="356"/>
        <w:spacing w:after="0" w:line="250" w:lineRule="auto"/>
        <w:rPr>
          <w:sz w:val="20"/>
          <w:szCs w:val="20"/>
          <w:color w:val="auto"/>
        </w:rPr>
      </w:pPr>
      <w:r>
        <w:rPr>
          <w:rFonts w:ascii="Arial" w:cs="Arial" w:eastAsia="Arial" w:hAnsi="Arial"/>
          <w:sz w:val="16"/>
          <w:szCs w:val="16"/>
          <w:color w:val="auto"/>
        </w:rPr>
        <w:t>During the fourth quarter of 2022, we executed approximately 213,000 square feet of leases and approximately 225,000 square feet of leases commenced in the San Francisco region. Approximately 92,000 square feet of leases that commenced had been vacant for less than one year and represent an increase in net rental obligations of approximately 28% over the prior leases.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San Francisco CBD in-service properties were approximately 89% leased as of December 31, 2022.</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Seattle</w:t>
      </w:r>
    </w:p>
    <w:p>
      <w:pPr>
        <w:spacing w:after="0" w:line="93" w:lineRule="exact"/>
        <w:rPr>
          <w:sz w:val="20"/>
          <w:szCs w:val="20"/>
          <w:color w:val="auto"/>
        </w:rPr>
      </w:pPr>
    </w:p>
    <w:p>
      <w:pPr>
        <w:ind w:right="220" w:firstLine="356"/>
        <w:spacing w:after="0" w:line="253" w:lineRule="auto"/>
        <w:rPr>
          <w:sz w:val="20"/>
          <w:szCs w:val="20"/>
          <w:color w:val="auto"/>
        </w:rPr>
      </w:pPr>
      <w:r>
        <w:rPr>
          <w:rFonts w:ascii="Arial" w:cs="Arial" w:eastAsia="Arial" w:hAnsi="Arial"/>
          <w:sz w:val="16"/>
          <w:szCs w:val="16"/>
          <w:color w:val="auto"/>
        </w:rPr>
        <w:t>Our Seattle in-service portfolio includes Safeco Plaza, an approximately 778,000 square foot property of which we own 33.67%, and Madison Centre, an approximately 755,000 square foot property. As of December 31, 2022, our Seattle in-service properties were approximately 88% leased.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Washington, DC</w:t>
      </w:r>
    </w:p>
    <w:p>
      <w:pPr>
        <w:spacing w:after="0" w:line="105" w:lineRule="exact"/>
        <w:rPr>
          <w:sz w:val="20"/>
          <w:szCs w:val="20"/>
          <w:color w:val="auto"/>
        </w:rPr>
      </w:pPr>
    </w:p>
    <w:p>
      <w:pPr>
        <w:ind w:firstLine="356"/>
        <w:spacing w:after="0" w:line="249" w:lineRule="auto"/>
        <w:rPr>
          <w:sz w:val="20"/>
          <w:szCs w:val="20"/>
          <w:color w:val="auto"/>
        </w:rPr>
      </w:pPr>
      <w:r>
        <w:rPr>
          <w:rFonts w:ascii="Arial" w:cs="Arial" w:eastAsia="Arial" w:hAnsi="Arial"/>
          <w:sz w:val="16"/>
          <w:szCs w:val="16"/>
          <w:color w:val="auto"/>
        </w:rPr>
        <w:t>During the fourth quarter of 2022, we executed approximately 321,000 square feet of leases and approximately 648,000 square feet of leases commenced in the Washington, DC region. Approximately 79,000 square feet of the leases that commenced had been vacant for less than one year and represent a decrease in net rental obligations of approximately 11% over the prior leases. Our Washington, DC CBD in-service properties were approximately 88% leased as of December 31, 2022.</w:t>
      </w:r>
    </w:p>
    <w:p>
      <w:pPr>
        <w:spacing w:after="0" w:line="137" w:lineRule="exact"/>
        <w:rPr>
          <w:sz w:val="20"/>
          <w:szCs w:val="20"/>
          <w:color w:val="auto"/>
        </w:rPr>
      </w:pPr>
    </w:p>
    <w:p>
      <w:pPr>
        <w:ind w:right="80" w:firstLine="356"/>
        <w:spacing w:after="0" w:line="271" w:lineRule="auto"/>
        <w:rPr>
          <w:sz w:val="20"/>
          <w:szCs w:val="20"/>
          <w:color w:val="auto"/>
        </w:rPr>
      </w:pPr>
      <w:r>
        <w:rPr>
          <w:rFonts w:ascii="Arial" w:cs="Arial" w:eastAsia="Arial" w:hAnsi="Arial"/>
          <w:sz w:val="15"/>
          <w:szCs w:val="15"/>
          <w:color w:val="auto"/>
        </w:rPr>
        <w:t>A significant component of our Washington, DC regional portfolio is in Reston Town Center, an award-winning mixed-use development in Northern Virginia. Reston is a hub for technology, cloud services, cybersecurity and defense intelligence companies. Our Reston, Virginia properties were approximately 89% leased as of December 31, 2022. In Reston, Virginia, we fully placed in-service Reston Next, a premier workplace project consisting of two buildings totaling approximately 1.1 million square feet. Including leases that have not yet commenced, this project is 90% leased as of February 21, 2023.</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Leasing Statistics</w:t>
      </w:r>
    </w:p>
    <w:p>
      <w:pPr>
        <w:spacing w:after="0" w:line="93" w:lineRule="exact"/>
        <w:rPr>
          <w:sz w:val="20"/>
          <w:szCs w:val="20"/>
          <w:color w:val="auto"/>
        </w:rPr>
      </w:pPr>
    </w:p>
    <w:p>
      <w:pPr>
        <w:ind w:right="400" w:firstLine="356"/>
        <w:spacing w:after="0" w:line="253" w:lineRule="auto"/>
        <w:rPr>
          <w:sz w:val="20"/>
          <w:szCs w:val="20"/>
          <w:color w:val="auto"/>
        </w:rPr>
      </w:pPr>
      <w:r>
        <w:rPr>
          <w:rFonts w:ascii="Arial" w:cs="Arial" w:eastAsia="Arial" w:hAnsi="Arial"/>
          <w:sz w:val="16"/>
          <w:szCs w:val="16"/>
          <w:color w:val="auto"/>
        </w:rPr>
        <w:t>The table below details the leasing activity, including 100% of the unconsolidated joint ventures, that commenced during the year ended December 31, 2022:</w:t>
      </w:r>
    </w:p>
    <w:p>
      <w:pPr>
        <w:sectPr>
          <w:pgSz w:w="11900" w:h="16838" w:orient="portrait"/>
          <w:cols w:equalWidth="0" w:num="1">
            <w:col w:w="11240"/>
          </w:cols>
          <w:pgMar w:left="320" w:top="28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Vacant space available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48830" cy="127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Property dispositions/properties taken out of service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48830"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Vacant space in properties acquired (2)</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Properties placed (and partially placed) in-service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48830" cy="127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Leases expiring or terminated during the period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space available for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8830" cy="135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35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generation leases</w:t>
      </w:r>
    </w:p>
    <w:p>
      <w:pPr>
        <w:ind w:left="20"/>
        <w:spacing w:after="0" w:line="210" w:lineRule="auto"/>
        <w:rPr>
          <w:sz w:val="20"/>
          <w:szCs w:val="20"/>
          <w:color w:val="auto"/>
        </w:rPr>
      </w:pPr>
      <w:r>
        <w:rPr>
          <w:rFonts w:ascii="Arial" w:cs="Arial" w:eastAsia="Arial" w:hAnsi="Arial"/>
          <w:sz w:val="16"/>
          <w:szCs w:val="16"/>
          <w:color w:val="auto"/>
        </w:rPr>
        <w:t>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generation leases with new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148830" cy="127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line="210" w:lineRule="auto"/>
        <w:rPr>
          <w:sz w:val="20"/>
          <w:szCs w:val="20"/>
          <w:color w:val="auto"/>
        </w:rPr>
      </w:pPr>
      <w:r>
        <w:rPr>
          <w:rFonts w:ascii="Arial" w:cs="Arial" w:eastAsia="Arial" w:hAnsi="Arial"/>
          <w:sz w:val="16"/>
          <w:szCs w:val="16"/>
          <w:color w:val="auto"/>
        </w:rPr>
        <w:t>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generation lease renewals</w:t>
      </w:r>
    </w:p>
    <w:p>
      <w:pPr>
        <w:ind w:left="20"/>
        <w:spacing w:after="0"/>
        <w:rPr>
          <w:sz w:val="20"/>
          <w:szCs w:val="20"/>
          <w:color w:val="auto"/>
        </w:rPr>
      </w:pPr>
      <w:r>
        <w:rPr>
          <w:rFonts w:ascii="Arial" w:cs="Arial" w:eastAsia="Arial" w:hAnsi="Arial"/>
          <w:sz w:val="16"/>
          <w:szCs w:val="16"/>
          <w:color w:val="auto"/>
        </w:rPr>
        <w:t>Total space leased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8830" cy="150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15049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Vacant space available for lease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830" cy="127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Leases executed during the period, in square feet (5)</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Second generation leasing information</w:t>
      </w:r>
      <w:r>
        <w:rPr>
          <w:rFonts w:ascii="Arial" w:cs="Arial" w:eastAsia="Arial" w:hAnsi="Arial"/>
          <w:sz w:val="16"/>
          <w:szCs w:val="16"/>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148830" cy="127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Leases commencing during the period, in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48830" cy="127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Weighted Average Lease Term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Free 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48830" cy="127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Total Transaction Costs Per Square Foot (7)</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Gross Rents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48830" cy="127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 in Net Rents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20955</wp:posOffset>
            </wp:positionV>
            <wp:extent cx="14300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30020" cy="7620"/>
                    </a:xfrm>
                    <a:prstGeom prst="rect">
                      <a:avLst/>
                    </a:prstGeom>
                    <a:noFill/>
                  </pic:spPr>
                </pic:pic>
              </a:graphicData>
            </a:graphic>
          </wp:anchor>
        </w:drawing>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(Square Feet)</w:t>
      </w:r>
    </w:p>
    <w:p>
      <w:pPr>
        <w:spacing w:after="0" w:line="44"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5,340,029</w:t>
      </w:r>
    </w:p>
    <w:p>
      <w:pPr>
        <w:spacing w:after="0" w:line="17"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(530,107)</w:t>
      </w:r>
    </w:p>
    <w:p>
      <w:pPr>
        <w:spacing w:after="0" w:line="1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142,018</w:t>
      </w:r>
    </w:p>
    <w:p>
      <w:pPr>
        <w:spacing w:after="0" w:line="1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1,713,366</w:t>
      </w:r>
    </w:p>
    <w:p>
      <w:pPr>
        <w:spacing w:after="0" w:line="1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6,158,731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3810</wp:posOffset>
            </wp:positionV>
            <wp:extent cx="14300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30020" cy="7620"/>
                    </a:xfrm>
                    <a:prstGeom prst="rect">
                      <a:avLst/>
                    </a:prstGeom>
                    <a:noFill/>
                  </pic:spPr>
                </pic:pic>
              </a:graphicData>
            </a:graphic>
          </wp:anchor>
        </w:drawing>
      </w:r>
    </w:p>
    <w:p>
      <w:pPr>
        <w:spacing w:after="0" w:line="9"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12,824,037</w:t>
      </w:r>
    </w:p>
    <w:p>
      <w:pPr>
        <w:spacing w:after="0" w:line="29"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1,505,314</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2,965,270</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2,742,676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3810</wp:posOffset>
            </wp:positionV>
            <wp:extent cx="14300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30020" cy="7620"/>
                    </a:xfrm>
                    <a:prstGeom prst="rect">
                      <a:avLst/>
                    </a:prstGeom>
                    <a:noFill/>
                  </pic:spPr>
                </pic:pic>
              </a:graphicData>
            </a:graphic>
          </wp:anchor>
        </w:drawing>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7,213,260</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5,610,777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26670</wp:posOffset>
            </wp:positionV>
            <wp:extent cx="14300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30020" cy="7620"/>
                    </a:xfrm>
                    <a:prstGeom prst="rect">
                      <a:avLst/>
                    </a:prstGeom>
                    <a:noFill/>
                  </pic:spPr>
                </pic:pic>
              </a:graphicData>
            </a:graphic>
          </wp:anchor>
        </w:drawing>
      </w:r>
    </w:p>
    <w:p>
      <w:pPr>
        <w:spacing w:after="0" w:line="2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5,696,677</w:t>
      </w: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5,707,946</w:t>
      </w:r>
    </w:p>
    <w:p>
      <w:pPr>
        <w:spacing w:after="0" w:line="17"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99 Months</w:t>
      </w:r>
    </w:p>
    <w:p>
      <w:pPr>
        <w:spacing w:after="0" w:line="29"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121 Days</w:t>
      </w:r>
    </w:p>
    <w:p>
      <w:pPr>
        <w:spacing w:after="0" w:line="2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$83.70</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3.98 %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5.29 %</w:t>
      </w:r>
    </w:p>
    <w:p>
      <w:pPr>
        <w:spacing w:after="0" w:line="73" w:lineRule="exact"/>
        <w:rPr>
          <w:sz w:val="20"/>
          <w:szCs w:val="20"/>
          <w:color w:val="auto"/>
        </w:rPr>
      </w:pPr>
    </w:p>
    <w:p>
      <w:pPr>
        <w:sectPr>
          <w:pgSz w:w="11900" w:h="16838" w:orient="portrait"/>
          <w:cols w:equalWidth="0" w:num="2">
            <w:col w:w="8360" w:space="720"/>
            <w:col w:w="2160"/>
          </w:cols>
          <w:pgMar w:left="320" w:top="281" w:right="3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__________________</w:t>
      </w:r>
    </w:p>
    <w:p>
      <w:pPr>
        <w:spacing w:after="0" w:line="23" w:lineRule="exact"/>
        <w:rPr>
          <w:sz w:val="20"/>
          <w:szCs w:val="20"/>
          <w:color w:val="auto"/>
        </w:rPr>
      </w:pPr>
    </w:p>
    <w:p>
      <w:pPr>
        <w:ind w:left="560" w:right="560" w:hanging="281"/>
        <w:spacing w:after="0" w:line="259"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vacant square feet of properties taken out of service and property dispositions during the year ended December 31, 2022 consists of 117,907 square feet at 760 Boylston Street, 95,180 square feet at 651 Gateway, 185,298 square feet at Virginia 95 Office Park, 5,270 square feet at 601 Massachusetts Avenue, 69,995 square feet at 105 Carnegie Center and 56,457 square feet at 2096 Gaither Road.</w:t>
      </w:r>
    </w:p>
    <w:p>
      <w:pPr>
        <w:ind w:left="560" w:right="680" w:hanging="281"/>
        <w:spacing w:after="0" w:line="238"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vacant square feet of properties acquired during the year ended December 31, 2022 consists of 77,581 square feet at Madison Centre and 64,437 square feet at 200 Fifth Avenue.</w:t>
      </w:r>
    </w:p>
    <w:p>
      <w:pPr>
        <w:ind w:left="560" w:right="260" w:hanging="281"/>
        <w:spacing w:after="0" w:line="247"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square feet of properties placed (and partially placed) in-service during the year ended December 31, 2022 consists of 243,614 square feet at 880 Winter Street, 761,492 square feet at Reston Next, 294,252 square feet at 2100 Pennsylvania Avenue and 414,008 square feet at 325 Main Street.</w:t>
      </w:r>
    </w:p>
    <w:p>
      <w:pPr>
        <w:ind w:left="560" w:hanging="281"/>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leases for which lease revenue recognition has commenced in accordance with GAAP during the year ended December 31, 2022.</w:t>
      </w:r>
    </w:p>
    <w:p>
      <w:pPr>
        <w:spacing w:after="0" w:line="16" w:lineRule="exact"/>
        <w:rPr>
          <w:rFonts w:ascii="Arial" w:cs="Arial" w:eastAsia="Arial" w:hAnsi="Arial"/>
          <w:sz w:val="14"/>
          <w:szCs w:val="14"/>
          <w:color w:val="auto"/>
        </w:rPr>
      </w:pPr>
    </w:p>
    <w:p>
      <w:pPr>
        <w:ind w:left="560" w:right="580" w:hanging="281"/>
        <w:spacing w:after="0" w:line="253"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leases executed during the year ended December 31, 2022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year ended December 31, 2022 is 1,002,153 square feet.</w:t>
      </w:r>
    </w:p>
    <w:p>
      <w:pPr>
        <w:ind w:left="560" w:right="600" w:hanging="281"/>
        <w:spacing w:after="0" w:line="256"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Second generation leases are defined as leases for space that had previously been leased by us. Of the 5,707,946 square feet of second generation leases that commenced during the year ended December 31, 2022, leases for 4,717,398 square feet were signed in prior periods.</w:t>
      </w:r>
    </w:p>
    <w:p>
      <w:pPr>
        <w:ind w:left="560" w:right="920" w:hanging="281"/>
        <w:spacing w:after="0" w:line="247"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transaction costs include tenant improvements and leasing commissions but exclude free rent concessions and other inducements in accordance with GAAP.</w:t>
      </w:r>
    </w:p>
    <w:p>
      <w:pPr>
        <w:jc w:val="both"/>
        <w:ind w:left="560" w:right="980" w:hanging="281"/>
        <w:spacing w:after="0" w:line="263"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increase in gross rent (base rent plus expense reimbursements) on the new versus expired leases on the 4,209,361 square feet of second generation leases that had been occupied within the prior 12 months for the year ended December 31, 2022; excludes leases that management considers temporary because the client is not expected to occupy the space on a long-term basis.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560" w:right="760" w:hanging="281"/>
        <w:spacing w:after="0" w:line="261" w:lineRule="auto"/>
        <w:tabs>
          <w:tab w:leader="none" w:pos="556"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increase in net rent (gross rent less operating expenses) on the new versus expired leases on the 4,209,361 square feet of second generation leases that had been occupied within the prior 12 months for the year ended December 31, 2022.</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descriptions of significant transactions that we completed during 2022, see “</w:t>
      </w:r>
      <w:r>
        <w:rPr>
          <w:rFonts w:ascii="Arial" w:cs="Arial" w:eastAsia="Arial" w:hAnsi="Arial"/>
          <w:sz w:val="16"/>
          <w:szCs w:val="16"/>
          <w:i w:val="1"/>
          <w:iCs w:val="1"/>
          <w:color w:val="auto"/>
        </w:rPr>
        <w:t>Item 1. Business—Transactions During 2022</w:t>
      </w:r>
      <w:r>
        <w:rPr>
          <w:rFonts w:ascii="Arial" w:cs="Arial" w:eastAsia="Arial" w:hAnsi="Arial"/>
          <w:sz w:val="16"/>
          <w:szCs w:val="16"/>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09"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or GAAP, requires management to use judgment in the application of accounting policies, including making estimates and assumptions. We base our estimates on historical experience and on various other assumptions believed to be reasonable under the circumstances. These judgments affect the reported amounts of assets and liabilities and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resulting in a different presentation of our financial statements. From time to time, we evaluate our estimates and assumptions. In the event estimates or assumptions prove to be different from actual results, adjustments are made in subsequent periods to reflect more current information. Our significant accounting policies, which utilize these critical accounting estimates, are described in Note 2 to our Consolidated Financial Statements.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our critical accounting estimates to be those used in the determination of the reported amounts and disclosure related to the following:</w:t>
      </w:r>
    </w:p>
    <w:p>
      <w:pPr>
        <w:spacing w:after="0" w:line="89" w:lineRule="exact"/>
        <w:rPr>
          <w:sz w:val="20"/>
          <w:szCs w:val="20"/>
          <w:color w:val="auto"/>
        </w:rPr>
      </w:pPr>
    </w:p>
    <w:p>
      <w:pPr>
        <w:ind w:left="560" w:hanging="281"/>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Purchase price allocations,</w:t>
      </w:r>
    </w:p>
    <w:p>
      <w:pPr>
        <w:spacing w:after="0" w:line="76" w:lineRule="exact"/>
        <w:rPr>
          <w:rFonts w:ascii="Arial" w:cs="Arial" w:eastAsia="Arial" w:hAnsi="Arial"/>
          <w:sz w:val="16"/>
          <w:szCs w:val="16"/>
          <w:color w:val="auto"/>
        </w:rPr>
      </w:pPr>
    </w:p>
    <w:p>
      <w:pPr>
        <w:ind w:left="560" w:hanging="281"/>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Impairment and</w:t>
      </w:r>
    </w:p>
    <w:p>
      <w:pPr>
        <w:spacing w:after="0" w:line="88" w:lineRule="exact"/>
        <w:rPr>
          <w:rFonts w:ascii="Arial" w:cs="Arial" w:eastAsia="Arial" w:hAnsi="Arial"/>
          <w:sz w:val="16"/>
          <w:szCs w:val="16"/>
          <w:color w:val="auto"/>
        </w:rPr>
      </w:pPr>
    </w:p>
    <w:p>
      <w:pPr>
        <w:ind w:left="560" w:hanging="281"/>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Impairment related to unconsolidated joint ventures.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Each of the above critical accounting estimates is described in more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Estate</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Purchase Price Allocations</w:t>
      </w:r>
    </w:p>
    <w:p>
      <w:pPr>
        <w:spacing w:after="0" w:line="93"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We assess the fair value of acquired tangible and intangible assets (including land, buildings, tenant improvements, “above-” and “below-market” leases, leasing and assumed financing origination costs, acquired in-place leases, other identified intangible assets and assumed liabilities) and allocate the purchase price to the acquired assets and assumed liabilities, including land and buildings as if vacant. We assess fair value based on estimated cash flow projections that utilize discount and/or capitalization rates that we deem appropriate, as well as available market information. Estimates of future cash flows are based on a number of factors including the historical operating results, known and anticipated trends, and market and economic conditions.</w:t>
      </w:r>
    </w:p>
    <w:p>
      <w:pPr>
        <w:spacing w:after="0" w:line="140"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The fair value of the tangible assets of an acquired property considers the value of the property as if it were vacant. We also consider an allocation of purchase price of other acquired intangibles, including acquired in-place leases that may have a customer relationship intangible value, including (but not limited to) the nature and extent of the existing relationship with the clients, the clients’ credit quality and expectations of lease renewals. Based on our acquisitions to date, our allocation to customer relationship intangible assets has been immaterial.</w:t>
      </w:r>
    </w:p>
    <w:p>
      <w:pPr>
        <w:spacing w:after="0" w:line="137" w:lineRule="exact"/>
        <w:rPr>
          <w:sz w:val="20"/>
          <w:szCs w:val="20"/>
          <w:color w:val="auto"/>
        </w:rPr>
      </w:pPr>
    </w:p>
    <w:p>
      <w:pPr>
        <w:ind w:right="140" w:firstLine="391"/>
        <w:spacing w:after="0" w:line="267" w:lineRule="auto"/>
        <w:rPr>
          <w:sz w:val="20"/>
          <w:szCs w:val="20"/>
          <w:color w:val="auto"/>
        </w:rPr>
      </w:pPr>
      <w:r>
        <w:rPr>
          <w:rFonts w:ascii="Arial" w:cs="Arial" w:eastAsia="Arial" w:hAnsi="Arial"/>
          <w:sz w:val="15"/>
          <w:szCs w:val="15"/>
          <w:color w:val="auto"/>
        </w:rPr>
        <w:t>We record acquired “above-” and “below-market” leases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 rate renewal options for below-market leases. Acquired “above-” and “below-market” lease values have been reflected within Prepaid Expenses and Other Assets and Other Liabilities, respectively, in our Consolidated Balance Sheets. Other intangible assets acquired include amounts for in-place lease values that are based on our evaluation of the specific characteristics of each client’s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expected lease-up periods, depending on local market conditions. In estimating costs to execute similar leases, we consider leasing commissions, legal and other related expenses.</w:t>
      </w:r>
    </w:p>
    <w:p>
      <w:pPr>
        <w:spacing w:after="0" w:line="134"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During the year ended December 31, 2022, we completed the acquisition of Madison Centre in Seattle, Washington and 125 Broadway in Cambridge, Massachusetts for an aggregate net purchase price of approximately $1.3 billion. These transactions were accounted for as asset acquisitions, and the purchase price of each was allocated based on the relative fair values of the assets acquired and liabilities assumed (See Note 3 to the Consolidated Financial Statements).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Impairment</w:t>
      </w:r>
    </w:p>
    <w:p>
      <w:pPr>
        <w:spacing w:after="0" w:line="105" w:lineRule="exact"/>
        <w:rPr>
          <w:sz w:val="20"/>
          <w:szCs w:val="20"/>
          <w:color w:val="auto"/>
        </w:rPr>
      </w:pPr>
    </w:p>
    <w:p>
      <w:pPr>
        <w:ind w:right="20" w:firstLine="391"/>
        <w:spacing w:after="0" w:line="266" w:lineRule="auto"/>
        <w:rPr>
          <w:sz w:val="20"/>
          <w:szCs w:val="20"/>
          <w:color w:val="auto"/>
        </w:rPr>
      </w:pPr>
      <w:r>
        <w:rPr>
          <w:rFonts w:ascii="Arial" w:cs="Arial" w:eastAsia="Arial" w:hAnsi="Arial"/>
          <w:sz w:val="15"/>
          <w:szCs w:val="15"/>
          <w:color w:val="auto"/>
        </w:rPr>
        <w:t>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more likely than not, a long-lived asset will be sold or otherwise disposed of significantly before the end of its previously estimated useful life or hold period. An impairment loss is recognized if the carrying amount of an asset is not recoverable and exceeds its fair value. The evaluation of anticipated cash flows is subjective and is based in part on assumptions regarding anticipated hold periods, future occupancy, future rental rates, future capital requirements, discount rates and capitalization rates that could differ materially from actual results in future periods. Because cash flows on properties considered to be “long-lived assets to be held and used” are considered on an undiscounted basis to determine whether an asset may be impaired, our established strategy of holding properties over the long term directly decreases the likelihood of recording an impairment loss. If our hold strategy changes or market conditions otherwise dictate an earlier sale date, an impairment loss may be recognized and such loss could be material. If we determine that an impairment has occurred, the affected assets must be reduced to their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Unconsolidated Joint Venture</w:t>
      </w:r>
      <w:r>
        <w:rPr>
          <w:rFonts w:ascii="Arial" w:cs="Arial" w:eastAsia="Arial" w:hAnsi="Arial"/>
          <w:sz w:val="16"/>
          <w:szCs w:val="16"/>
          <w:b w:val="1"/>
          <w:bCs w:val="1"/>
          <w:color w:val="auto"/>
        </w:rPr>
        <w: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Impairment</w:t>
      </w:r>
    </w:p>
    <w:p>
      <w:pPr>
        <w:spacing w:after="0" w:line="105" w:lineRule="exact"/>
        <w:rPr>
          <w:sz w:val="20"/>
          <w:szCs w:val="20"/>
          <w:color w:val="auto"/>
        </w:rPr>
      </w:pPr>
    </w:p>
    <w:p>
      <w:pPr>
        <w:ind w:right="160" w:firstLine="391"/>
        <w:spacing w:after="0" w:line="248" w:lineRule="auto"/>
        <w:rPr>
          <w:sz w:val="20"/>
          <w:szCs w:val="20"/>
          <w:color w:val="auto"/>
        </w:rPr>
      </w:pPr>
      <w:r>
        <w:rPr>
          <w:rFonts w:ascii="Arial" w:cs="Arial" w:eastAsia="Arial" w:hAnsi="Arial"/>
          <w:sz w:val="16"/>
          <w:szCs w:val="16"/>
          <w:color w:val="auto"/>
        </w:rPr>
        <w:t>Our investments in unconsolidated joint ventures are reviewed for indicators of impairment on a quarterly basis and we record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and market conditions. We will record an impairment charge if we determine that a decline in the fair value below the carrying amount of an investment in an unconsolidated joint venture is other-than-temporary. The fair value is calculated using discounted cash flows which is subjective and considers assumptions regarding future occupancy, future rental rates, future capital requirements, debt interest rates and availability, discount rates and capitalization rates that could differ materially from actual results in future periods.</w:t>
      </w:r>
    </w:p>
    <w:p>
      <w:pPr>
        <w:spacing w:after="0" w:line="139"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As of December 31, 2022, the net carrying amounts of our investments in unconsolidated joint ventures was approximately $1.6 billion, which includes investments with deficit balances aggregating approximately $85.4 million included within Other Liabilities in our Consolidated Balance Sheets. During the year ended December 31, 2022, we recorded an other-than-temporary impairment of approximately $50.7 million related to our Dock 72 unconsolidated joint venture (See Note 6 to the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accounting policies related to income tax are described in Note 2 to our Consolidated Financial Statements.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BXP</w:t>
      </w:r>
    </w:p>
    <w:p>
      <w:pPr>
        <w:spacing w:after="0" w:line="107" w:lineRule="exact"/>
        <w:rPr>
          <w:sz w:val="20"/>
          <w:szCs w:val="20"/>
          <w:color w:val="auto"/>
        </w:rPr>
      </w:pPr>
    </w:p>
    <w:p>
      <w:pPr>
        <w:ind w:right="400" w:firstLine="391"/>
        <w:spacing w:after="0" w:line="253" w:lineRule="auto"/>
        <w:rPr>
          <w:sz w:val="20"/>
          <w:szCs w:val="20"/>
          <w:color w:val="auto"/>
        </w:rPr>
      </w:pPr>
      <w:r>
        <w:rPr>
          <w:rFonts w:ascii="Arial" w:cs="Arial" w:eastAsia="Arial" w:hAnsi="Arial"/>
          <w:sz w:val="16"/>
          <w:szCs w:val="16"/>
          <w:color w:val="auto"/>
        </w:rPr>
        <w:t>The net difference between the tax basis and the reported amounts of BXP’s assets and liabilities was approximately $2.1 billion and $1.8 billion as of December 31, 2022 and 2021, respectively, which was primarily related to the difference in basis of contributed property and accrued rental income.</w:t>
      </w:r>
    </w:p>
    <w:p>
      <w:pPr>
        <w:spacing w:after="0" w:line="134" w:lineRule="exact"/>
        <w:rPr>
          <w:sz w:val="20"/>
          <w:szCs w:val="20"/>
          <w:color w:val="auto"/>
        </w:rPr>
      </w:pPr>
    </w:p>
    <w:p>
      <w:pPr>
        <w:ind w:right="240" w:firstLine="391"/>
        <w:spacing w:after="0" w:line="253" w:lineRule="auto"/>
        <w:rPr>
          <w:sz w:val="20"/>
          <w:szCs w:val="20"/>
          <w:color w:val="auto"/>
        </w:rPr>
      </w:pPr>
      <w:r>
        <w:rPr>
          <w:rFonts w:ascii="Arial" w:cs="Arial" w:eastAsia="Arial" w:hAnsi="Arial"/>
          <w:sz w:val="16"/>
          <w:szCs w:val="16"/>
          <w:color w:val="auto"/>
        </w:rPr>
        <w:t>Certain entities included in BXP’s Consolidated Financial Statements are subject to certain state and local taxes. These taxes are recorded as operating expenses in the accompanying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reconciles GAAP net income attributable to Boston Properties, Inc. to taxable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6"/>
                <w:szCs w:val="16"/>
                <w:color w:val="auto"/>
              </w:rPr>
            </w:pPr>
          </w:p>
        </w:tc>
      </w:tr>
      <w:tr>
        <w:trPr>
          <w:trHeight w:val="184"/>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81"/>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848,947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505,195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872,727</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Straight-line rent and net “above-” and “below-market” rent adjustments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(88,487)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(107,942)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(90,144)</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Book/Tax differences from depreciation and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172,558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146,028</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106,203</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Book/Tax differences on gains/(losses) from capital transactions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(273,345)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(25,756)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(345,854)</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Book/Tax differences from stock-based compensation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61,387</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42,576</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Tangible Property Regulations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(112,355)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(77,489)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(144,981)</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book/tax differences, net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51,490</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71,464</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117,166</w:t>
            </w:r>
          </w:p>
        </w:tc>
      </w:tr>
      <w:tr>
        <w:trPr>
          <w:trHeight w:val="193"/>
        </w:trPr>
        <w:tc>
          <w:tcPr>
            <w:tcW w:w="7080" w:type="dxa"/>
            <w:vAlign w:val="bottom"/>
          </w:tcPr>
          <w:p>
            <w:pPr>
              <w:ind w:left="20"/>
              <w:spacing w:after="0" w:line="180" w:lineRule="exact"/>
              <w:rPr>
                <w:sz w:val="20"/>
                <w:szCs w:val="20"/>
                <w:color w:val="auto"/>
              </w:rPr>
            </w:pPr>
            <w:r>
              <w:rPr>
                <w:rFonts w:ascii="Arial" w:cs="Arial" w:eastAsia="Arial" w:hAnsi="Arial"/>
                <w:sz w:val="16"/>
                <w:szCs w:val="16"/>
                <w:color w:val="auto"/>
              </w:rPr>
              <w:t>Taxable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641,318</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572,887</w:t>
            </w:r>
          </w:p>
        </w:tc>
        <w:tc>
          <w:tcPr>
            <w:tcW w:w="24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557,693</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BPLP</w:t>
      </w:r>
    </w:p>
    <w:p>
      <w:pPr>
        <w:spacing w:after="0" w:line="95" w:lineRule="exact"/>
        <w:rPr>
          <w:sz w:val="20"/>
          <w:szCs w:val="20"/>
          <w:color w:val="auto"/>
        </w:rPr>
      </w:pPr>
    </w:p>
    <w:p>
      <w:pPr>
        <w:ind w:right="360" w:firstLine="391"/>
        <w:spacing w:after="0" w:line="253" w:lineRule="auto"/>
        <w:rPr>
          <w:sz w:val="20"/>
          <w:szCs w:val="20"/>
          <w:color w:val="auto"/>
        </w:rPr>
      </w:pPr>
      <w:r>
        <w:rPr>
          <w:rFonts w:ascii="Arial" w:cs="Arial" w:eastAsia="Arial" w:hAnsi="Arial"/>
          <w:sz w:val="16"/>
          <w:szCs w:val="16"/>
          <w:color w:val="auto"/>
        </w:rPr>
        <w:t>The net difference between the tax basis and the reported amounts of BPLP’s assets and liabilities was approximately $3.2 billion and $2.9 billion as of December 31, 2022 and 2021, respectively, which was primarily related to the difference in basis of contributed property and accrued rental income.</w:t>
      </w:r>
    </w:p>
    <w:p>
      <w:pPr>
        <w:spacing w:after="0" w:line="134" w:lineRule="exact"/>
        <w:rPr>
          <w:sz w:val="20"/>
          <w:szCs w:val="20"/>
          <w:color w:val="auto"/>
        </w:rPr>
      </w:pPr>
    </w:p>
    <w:p>
      <w:pPr>
        <w:ind w:right="180" w:firstLine="391"/>
        <w:spacing w:after="0" w:line="253" w:lineRule="auto"/>
        <w:rPr>
          <w:sz w:val="20"/>
          <w:szCs w:val="20"/>
          <w:color w:val="auto"/>
        </w:rPr>
      </w:pPr>
      <w:r>
        <w:rPr>
          <w:rFonts w:ascii="Arial" w:cs="Arial" w:eastAsia="Arial" w:hAnsi="Arial"/>
          <w:sz w:val="16"/>
          <w:szCs w:val="16"/>
          <w:color w:val="auto"/>
        </w:rPr>
        <w:t>Certain entities included in BPLP’s Consolidated Financial Statements are subject to certain state and local taxes. These taxes are recorded as operating expenses in the accompanying Consolidated Financial Statements.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reconciles GAAP net income attributable to Boston Properties Limited Partnership to taxable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6"/>
                <w:szCs w:val="16"/>
                <w:color w:val="auto"/>
              </w:rPr>
            </w:pPr>
          </w:p>
        </w:tc>
      </w:tr>
      <w:tr>
        <w:trPr>
          <w:trHeight w:val="184"/>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81"/>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957,265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570,965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990,479</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Straight-line rent and net “above-” and “below-market” rent adjustments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(98,770)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(120,074)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(100,375)</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Book/Tax differences from depreciation and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173,272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101,470</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Book/Tax differences on gains/(losses) from capital transactions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(289,174)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(24,109)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(359,497)</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Book/Tax differences from stock-based compensation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47,450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68,287</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47,408</w:t>
            </w:r>
          </w:p>
        </w:tc>
      </w:tr>
      <w:tr>
        <w:trPr>
          <w:trHeight w:val="201"/>
        </w:trPr>
        <w:tc>
          <w:tcPr>
            <w:tcW w:w="7080" w:type="dxa"/>
            <w:vAlign w:val="bottom"/>
          </w:tcPr>
          <w:p>
            <w:pPr>
              <w:ind w:left="20"/>
              <w:spacing w:after="0"/>
              <w:rPr>
                <w:sz w:val="20"/>
                <w:szCs w:val="20"/>
                <w:color w:val="auto"/>
              </w:rPr>
            </w:pPr>
            <w:r>
              <w:rPr>
                <w:rFonts w:ascii="Arial" w:cs="Arial" w:eastAsia="Arial" w:hAnsi="Arial"/>
                <w:sz w:val="16"/>
                <w:szCs w:val="16"/>
                <w:color w:val="auto"/>
              </w:rPr>
              <w:t>Tangible Property Regulations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(125,411)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(86,199)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(161,435)</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book/tax differences, net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48,982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81,693</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121,397</w:t>
            </w:r>
          </w:p>
        </w:tc>
      </w:tr>
      <w:tr>
        <w:trPr>
          <w:trHeight w:val="193"/>
        </w:trPr>
        <w:tc>
          <w:tcPr>
            <w:tcW w:w="7080" w:type="dxa"/>
            <w:vAlign w:val="bottom"/>
          </w:tcPr>
          <w:p>
            <w:pPr>
              <w:ind w:left="20"/>
              <w:spacing w:after="0" w:line="180" w:lineRule="exact"/>
              <w:rPr>
                <w:sz w:val="20"/>
                <w:szCs w:val="20"/>
                <w:color w:val="auto"/>
              </w:rPr>
            </w:pPr>
            <w:r>
              <w:rPr>
                <w:rFonts w:ascii="Arial" w:cs="Arial" w:eastAsia="Arial" w:hAnsi="Arial"/>
                <w:sz w:val="16"/>
                <w:szCs w:val="16"/>
                <w:color w:val="auto"/>
              </w:rPr>
              <w:t>Taxable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713,614</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635,357</w:t>
            </w:r>
          </w:p>
        </w:tc>
        <w:tc>
          <w:tcPr>
            <w:tcW w:w="24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639,447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for the Year Ended December 31, 2022 and 2021</w:t>
      </w:r>
    </w:p>
    <w:p>
      <w:pPr>
        <w:spacing w:after="0" w:line="97" w:lineRule="exact"/>
        <w:rPr>
          <w:sz w:val="20"/>
          <w:szCs w:val="20"/>
          <w:color w:val="auto"/>
        </w:rPr>
      </w:pPr>
    </w:p>
    <w:p>
      <w:pPr>
        <w:ind w:right="40" w:firstLine="391"/>
        <w:spacing w:after="0" w:line="249" w:lineRule="auto"/>
        <w:rPr>
          <w:sz w:val="20"/>
          <w:szCs w:val="20"/>
          <w:color w:val="auto"/>
        </w:rPr>
      </w:pPr>
      <w:r>
        <w:rPr>
          <w:rFonts w:ascii="Arial" w:cs="Arial" w:eastAsia="Arial" w:hAnsi="Arial"/>
          <w:sz w:val="16"/>
          <w:szCs w:val="16"/>
          <w:color w:val="auto"/>
        </w:rPr>
        <w:t>This section of this Form 10-K generally discusses 2022 and 2021 items and year-to-year comparisons between 2022 and 2021. Discussions of 2020 items and year-to-year comparisons between 2021 and 2020 that are not included in this Form 10-K can be found in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w:t>
      </w:r>
      <w:r>
        <w:rPr>
          <w:rFonts w:ascii="Arial" w:cs="Arial" w:eastAsia="Arial" w:hAnsi="Arial"/>
          <w:sz w:val="16"/>
          <w:szCs w:val="16"/>
          <w:color w:val="auto"/>
        </w:rPr>
        <w:t>s” in Part II, Item 7 of our Annual Report on Form 10-K for the year ended December 31, 2021, which was filed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SEC on February 25, 2022.</w:t>
      </w:r>
    </w:p>
    <w:p>
      <w:pPr>
        <w:spacing w:after="0" w:line="137" w:lineRule="exact"/>
        <w:rPr>
          <w:sz w:val="20"/>
          <w:szCs w:val="20"/>
          <w:color w:val="auto"/>
        </w:rPr>
      </w:pPr>
    </w:p>
    <w:p>
      <w:pPr>
        <w:ind w:right="40" w:firstLine="391"/>
        <w:spacing w:after="0" w:line="249" w:lineRule="auto"/>
        <w:rPr>
          <w:sz w:val="20"/>
          <w:szCs w:val="20"/>
          <w:color w:val="auto"/>
        </w:rPr>
      </w:pPr>
      <w:r>
        <w:rPr>
          <w:rFonts w:ascii="Arial" w:cs="Arial" w:eastAsia="Arial" w:hAnsi="Arial"/>
          <w:sz w:val="16"/>
          <w:szCs w:val="16"/>
          <w:color w:val="auto"/>
        </w:rPr>
        <w:t>Net income attributable to Boston Properties, Inc. common shareholders and net income attributable to Boston Properties Limited Partnership common unitholders increased by approximately $352.7 million and $395.3 million for the year ended December 31, 2022 compared to 2021, respectively, as set forth in the following tables and for the reasons discussed below under the heading “</w:t>
      </w:r>
      <w:r>
        <w:rPr>
          <w:rFonts w:ascii="Arial" w:cs="Arial" w:eastAsia="Arial" w:hAnsi="Arial"/>
          <w:sz w:val="16"/>
          <w:szCs w:val="16"/>
          <w:i w:val="1"/>
          <w:iCs w:val="1"/>
          <w:color w:val="auto"/>
        </w:rPr>
        <w:t>Comparison of the year ended December 31, 2022 to the year ended December 31,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2021” </w:t>
      </w:r>
      <w:r>
        <w:rPr>
          <w:rFonts w:ascii="Arial" w:cs="Arial" w:eastAsia="Arial" w:hAnsi="Arial"/>
          <w:sz w:val="16"/>
          <w:szCs w:val="16"/>
          <w:color w:val="auto"/>
        </w:rPr>
        <w:t>within “</w:t>
      </w:r>
      <w:r>
        <w:rPr>
          <w:rFonts w:ascii="Arial" w:cs="Arial" w:eastAsia="Arial" w:hAnsi="Arial"/>
          <w:sz w:val="16"/>
          <w:szCs w:val="16"/>
          <w:i w:val="1"/>
          <w:iCs w:val="1"/>
          <w:color w:val="auto"/>
        </w:rPr>
        <w:t>Item 7—Management’s Discussion and Analysis of Financial Condition and Results of Operations</w:t>
      </w:r>
      <w:r>
        <w:rPr>
          <w:rFonts w:ascii="Arial" w:cs="Arial" w:eastAsia="Arial" w:hAnsi="Arial"/>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00" w:firstLine="391"/>
        <w:spacing w:after="0" w:line="250" w:lineRule="auto"/>
        <w:rPr>
          <w:sz w:val="20"/>
          <w:szCs w:val="20"/>
          <w:color w:val="auto"/>
        </w:rPr>
      </w:pPr>
      <w:r>
        <w:rPr>
          <w:rFonts w:ascii="Arial" w:cs="Arial" w:eastAsia="Arial" w:hAnsi="Arial"/>
          <w:sz w:val="16"/>
          <w:szCs w:val="16"/>
          <w:color w:val="auto"/>
        </w:rPr>
        <w:t>The following are reconciliations of Net Income Attributable to Boston Properties, Inc. Common Shareholders to Net Operating Income and Net Income Attributable to Boston Properties Limited Partnership Common Unitholders to Net Operating Income for the years ended December 31, 2022 and 2021. For a detailed discussion of Net Operating Income (“NOI”), including the reasons management believes NOI is useful to investors, see page 70</w:t>
      </w:r>
      <w:r>
        <w:rPr>
          <w:rFonts w:ascii="Arial" w:cs="Arial" w:eastAsia="Arial" w:hAnsi="Arial"/>
          <w:sz w:val="12"/>
          <w:szCs w:val="12"/>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7" w:lineRule="exact"/>
              <w:rPr>
                <w:sz w:val="20"/>
                <w:szCs w:val="20"/>
                <w:color w:val="auto"/>
              </w:rPr>
            </w:pPr>
            <w:r>
              <w:rPr>
                <w:rFonts w:ascii="Arial" w:cs="Arial" w:eastAsia="Arial" w:hAnsi="Arial"/>
                <w:sz w:val="14"/>
                <w:szCs w:val="14"/>
                <w:b w:val="1"/>
                <w:bCs w:val="1"/>
                <w:color w:val="auto"/>
              </w:rPr>
              <w:t>Increase/</w:t>
            </w:r>
          </w:p>
        </w:tc>
        <w:tc>
          <w:tcPr>
            <w:tcW w:w="1420" w:type="dxa"/>
            <w:vAlign w:val="bottom"/>
          </w:tcPr>
          <w:p>
            <w:pPr>
              <w:jc w:val="right"/>
              <w:ind w:right="569"/>
              <w:spacing w:after="0" w:line="13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4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Inc. Common Shareholders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848,947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352,724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71.08 %</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Preferred stock redemption charge</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(6,412)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0"/>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dividends</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1"/>
        </w:trPr>
        <w:tc>
          <w:tcPr>
            <w:tcW w:w="6140" w:type="dxa"/>
            <w:vAlign w:val="bottom"/>
          </w:tcPr>
          <w:p>
            <w:pPr>
              <w:ind w:left="20"/>
              <w:spacing w:after="0"/>
              <w:rPr>
                <w:sz w:val="20"/>
                <w:szCs w:val="20"/>
                <w:color w:val="auto"/>
              </w:rPr>
            </w:pPr>
            <w:r>
              <w:rPr>
                <w:rFonts w:ascii="Arial" w:cs="Arial" w:eastAsia="Arial" w:hAnsi="Arial"/>
                <w:sz w:val="14"/>
                <w:szCs w:val="14"/>
                <w:color w:val="auto"/>
              </w:rPr>
              <w:t>Net Income Attributable to Boston Properties, Inc.</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848,947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505,195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343,752</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68.04 %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96,780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40,849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73.03 %</w:t>
            </w:r>
          </w:p>
        </w:tc>
        <w:tc>
          <w:tcPr>
            <w:tcW w:w="0" w:type="dxa"/>
            <w:vAlign w:val="bottom"/>
          </w:tcPr>
          <w:p>
            <w:pPr>
              <w:spacing w:after="0"/>
              <w:rPr>
                <w:sz w:val="1"/>
                <w:szCs w:val="1"/>
                <w:color w:val="auto"/>
              </w:rPr>
            </w:pPr>
          </w:p>
        </w:tc>
      </w:tr>
      <w:tr>
        <w:trPr>
          <w:trHeight w:val="190"/>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74,857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5.72 %</w:t>
            </w:r>
          </w:p>
        </w:tc>
        <w:tc>
          <w:tcPr>
            <w:tcW w:w="0" w:type="dxa"/>
            <w:vAlign w:val="bottom"/>
          </w:tcPr>
          <w:p>
            <w:pPr>
              <w:spacing w:after="0"/>
              <w:rPr>
                <w:sz w:val="1"/>
                <w:szCs w:val="1"/>
                <w:color w:val="auto"/>
              </w:rPr>
            </w:pPr>
          </w:p>
        </w:tc>
      </w:tr>
      <w:tr>
        <w:trPr>
          <w:trHeight w:val="181"/>
        </w:trPr>
        <w:tc>
          <w:tcPr>
            <w:tcW w:w="6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1,020,584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631,932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388,652</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61.50 %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40" w:type="dxa"/>
            <w:vAlign w:val="bottom"/>
          </w:tcPr>
          <w:p>
            <w:pPr>
              <w:ind w:left="2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437,139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Losses from early extinguishment of debt</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45,182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(45,182)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59,840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57,270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2,228.40 %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40" w:type="dxa"/>
            <w:vAlign w:val="bottom"/>
          </w:tcPr>
          <w:p>
            <w:pPr>
              <w:ind w:left="2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(losses) from investments in securities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(12,079)</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(214.70)%</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Other income - assignment fee</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6,624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6,624</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and other income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6,236</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109.33 %</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Gain on sales-type lease</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10,058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10,058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437,019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313,359</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253.40 %</w:t>
            </w:r>
          </w:p>
        </w:tc>
        <w:tc>
          <w:tcPr>
            <w:tcW w:w="0" w:type="dxa"/>
            <w:vAlign w:val="bottom"/>
          </w:tcPr>
          <w:p>
            <w:pPr>
              <w:spacing w:after="0"/>
              <w:rPr>
                <w:sz w:val="1"/>
                <w:szCs w:val="1"/>
                <w:color w:val="auto"/>
              </w:rPr>
            </w:pPr>
          </w:p>
        </w:tc>
      </w:tr>
      <w:tr>
        <w:trPr>
          <w:trHeight w:val="187"/>
        </w:trPr>
        <w:tc>
          <w:tcPr>
            <w:tcW w:w="61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749,775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32,439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4.52 %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Transaction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15,450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23.73 %</w:t>
            </w: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146,378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87"/>
        </w:trPr>
        <w:tc>
          <w:tcPr>
            <w:tcW w:w="61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40" w:type="dxa"/>
            <w:vAlign w:val="bottom"/>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15,450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23.73 %</w:t>
            </w:r>
          </w:p>
        </w:tc>
        <w:tc>
          <w:tcPr>
            <w:tcW w:w="0" w:type="dxa"/>
            <w:vAlign w:val="bottom"/>
          </w:tcPr>
          <w:p>
            <w:pPr>
              <w:spacing w:after="0"/>
              <w:rPr>
                <w:sz w:val="1"/>
                <w:szCs w:val="1"/>
                <w:color w:val="auto"/>
              </w:rPr>
            </w:pPr>
          </w:p>
        </w:tc>
      </w:tr>
      <w:tr>
        <w:trPr>
          <w:trHeight w:val="190"/>
        </w:trPr>
        <w:tc>
          <w:tcPr>
            <w:tcW w:w="6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28,056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84"/>
        </w:trPr>
        <w:tc>
          <w:tcPr>
            <w:tcW w:w="614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1,929,527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1,814,288</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115,239</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20"/>
              <w:spacing w:after="0" w:line="137" w:lineRule="exact"/>
              <w:rPr>
                <w:sz w:val="20"/>
                <w:szCs w:val="20"/>
                <w:color w:val="auto"/>
              </w:rPr>
            </w:pPr>
            <w:r>
              <w:rPr>
                <w:rFonts w:ascii="Arial" w:cs="Arial" w:eastAsia="Arial" w:hAnsi="Arial"/>
                <w:sz w:val="14"/>
                <w:szCs w:val="14"/>
                <w:b w:val="1"/>
                <w:bCs w:val="1"/>
                <w:color w:val="auto"/>
              </w:rPr>
              <w:t>Increase/</w:t>
            </w:r>
          </w:p>
        </w:tc>
        <w:tc>
          <w:tcPr>
            <w:tcW w:w="1360" w:type="dxa"/>
            <w:vAlign w:val="bottom"/>
          </w:tcPr>
          <w:p>
            <w:pPr>
              <w:jc w:val="right"/>
              <w:ind w:right="549"/>
              <w:spacing w:after="0" w:line="13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Limited Partnership Common Unitholders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957,265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395,272</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70.33 %</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Preferred unit redemption charge</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(6,412)</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0"/>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distributions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Arial" w:cs="Arial" w:eastAsia="Arial" w:hAnsi="Arial"/>
                <w:sz w:val="14"/>
                <w:szCs w:val="14"/>
                <w:color w:val="auto"/>
              </w:rPr>
              <w:t>Net Income Attributable to Boston Properties Limited Partnership</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957,265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570,965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386,300</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67.66 %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74,857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5.72 %</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1,032,122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390,351</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60.82 %</w:t>
            </w: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437,139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423,346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13,793</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Losses from early extinguishment of debt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57,270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2,228.40 %</w:t>
            </w: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Gains (losses) from investments in securities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(12,079)</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(214.70)%</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 assignment fee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Interest and other income (loss)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6,236</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109.33 %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sales-type lease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441,075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125,198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315,877</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252.30 %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742,293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33,258</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4.69 %</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(2,131)</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23.73 %</w:t>
            </w:r>
          </w:p>
        </w:tc>
        <w:tc>
          <w:tcPr>
            <w:tcW w:w="0" w:type="dxa"/>
            <w:vAlign w:val="bottom"/>
          </w:tcPr>
          <w:p>
            <w:pPr>
              <w:spacing w:after="0"/>
              <w:rPr>
                <w:sz w:val="1"/>
                <w:szCs w:val="1"/>
                <w:color w:val="auto"/>
              </w:rPr>
            </w:pPr>
          </w:p>
        </w:tc>
      </w:tr>
      <w:tr>
        <w:trPr>
          <w:trHeight w:val="187"/>
        </w:trPr>
        <w:tc>
          <w:tcPr>
            <w:tcW w:w="6100" w:type="dxa"/>
            <w:vAlign w:val="bottom"/>
          </w:tcPr>
          <w:p>
            <w:pPr>
              <w:ind w:left="30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146,378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(5,195)</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23.73 %</w:t>
            </w:r>
          </w:p>
        </w:tc>
        <w:tc>
          <w:tcPr>
            <w:tcW w:w="0" w:type="dxa"/>
            <w:vAlign w:val="bottom"/>
          </w:tcPr>
          <w:p>
            <w:pPr>
              <w:spacing w:after="0"/>
              <w:rPr>
                <w:sz w:val="1"/>
                <w:szCs w:val="1"/>
                <w:color w:val="auto"/>
              </w:rPr>
            </w:pPr>
          </w:p>
        </w:tc>
      </w:tr>
      <w:tr>
        <w:trPr>
          <w:trHeight w:val="187"/>
        </w:trPr>
        <w:tc>
          <w:tcPr>
            <w:tcW w:w="61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28,056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27,697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Income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1,929,527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1,814,288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115,239</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At December 31, 2022 and 2021, we owned or had joint venture interests in a portfolio of 194 and 201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year ended December 31, 2022 and 2021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24" w:lineRule="exact"/>
        <w:rPr>
          <w:sz w:val="20"/>
          <w:szCs w:val="20"/>
          <w:color w:val="auto"/>
        </w:rPr>
      </w:pPr>
    </w:p>
    <w:p>
      <w:pPr>
        <w:jc w:val="both"/>
        <w:ind w:right="120" w:firstLine="391"/>
        <w:spacing w:after="0" w:line="250" w:lineRule="auto"/>
        <w:rPr>
          <w:sz w:val="20"/>
          <w:szCs w:val="20"/>
          <w:color w:val="auto"/>
        </w:rPr>
      </w:pPr>
      <w:r>
        <w:rPr>
          <w:rFonts w:ascii="Arial" w:cs="Arial" w:eastAsia="Arial" w:hAnsi="Arial"/>
          <w:sz w:val="16"/>
          <w:szCs w:val="16"/>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80"/>
        <w:spacing w:after="0" w:line="250" w:lineRule="auto"/>
        <w:rPr>
          <w:sz w:val="20"/>
          <w:szCs w:val="20"/>
          <w:color w:val="auto"/>
        </w:rPr>
      </w:pPr>
      <w:r>
        <w:rPr>
          <w:rFonts w:ascii="Arial" w:cs="Arial" w:eastAsia="Arial" w:hAnsi="Arial"/>
          <w:sz w:val="16"/>
          <w:szCs w:val="16"/>
          <w:color w:val="auto"/>
        </w:rPr>
        <w:t>earliest period presented and owned by us and in-service through the end of the latest period presented as our Same Property Portfolio. The Same Property Portfolio therefore excludes properties acquired, placed in-service or in development or redevelopment after the beginning of the earliest period presented or disposed of prior to the end of the latest period presented.</w:t>
      </w:r>
    </w:p>
    <w:p>
      <w:pPr>
        <w:spacing w:after="0" w:line="136" w:lineRule="exact"/>
        <w:rPr>
          <w:sz w:val="20"/>
          <w:szCs w:val="20"/>
          <w:color w:val="auto"/>
        </w:rPr>
      </w:pPr>
    </w:p>
    <w:p>
      <w:pPr>
        <w:ind w:firstLine="391"/>
        <w:spacing w:after="0" w:line="265" w:lineRule="auto"/>
        <w:rPr>
          <w:sz w:val="20"/>
          <w:szCs w:val="20"/>
          <w:color w:val="auto"/>
        </w:rPr>
      </w:pPr>
      <w:r>
        <w:rPr>
          <w:rFonts w:ascii="Arial" w:cs="Arial" w:eastAsia="Arial" w:hAnsi="Arial"/>
          <w:sz w:val="15"/>
          <w:szCs w:val="15"/>
          <w:color w:val="auto"/>
        </w:rPr>
        <w:t>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unrealized loss on non-real estate investment, loss from unconsolidated joint ventures,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 on sales-type lease,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320"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We believe that in order to understand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40"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gains on sales of real estate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follows the cover page of this Annual Report on Form 10-K.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Comparison of the year ended December 31, 2022 to the year ended December 31, 2021</w:t>
      </w:r>
    </w:p>
    <w:p>
      <w:pPr>
        <w:spacing w:after="0" w:line="95" w:lineRule="exact"/>
        <w:rPr>
          <w:sz w:val="20"/>
          <w:szCs w:val="20"/>
          <w:color w:val="auto"/>
        </w:rPr>
      </w:pPr>
    </w:p>
    <w:p>
      <w:pPr>
        <w:ind w:right="20" w:firstLine="391"/>
        <w:spacing w:after="0" w:line="268" w:lineRule="auto"/>
        <w:rPr>
          <w:sz w:val="20"/>
          <w:szCs w:val="20"/>
          <w:color w:val="auto"/>
        </w:rPr>
      </w:pPr>
      <w:r>
        <w:rPr>
          <w:rFonts w:ascii="Arial" w:cs="Arial" w:eastAsia="Arial" w:hAnsi="Arial"/>
          <w:sz w:val="15"/>
          <w:szCs w:val="15"/>
          <w:color w:val="auto"/>
        </w:rPr>
        <w:t>The table below shows selected operating information for the Same Property Portfolio and the Total Property Portfolio. The Same Property Portfolio consists of 124 properties totaling approximately 37.8 million net rentable square feet, excluding unconsolidated joint ventures. The Same Property Portfolio includes properties acquired or placed in-service on or prior to January 1, 2021 and owned and in service through December 31, 2022. The Total Property Portfolio includes the effects of the other properties either acquired, placed in-service, in development or redevelopment after January 1, 2021 or disposed of on or prior to December 31, 2022. This table includes a reconciliation from the Same Property Portfolio to the Total Property Portfolio by also providing information for the years ended December 31,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rPr>
              <w:t>Properties</w:t>
            </w:r>
          </w:p>
        </w:tc>
        <w:tc>
          <w:tcPr>
            <w:tcW w:w="11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9"/>
              </w:rPr>
              <w:t>Properties</w:t>
            </w:r>
          </w:p>
        </w:tc>
        <w:tc>
          <w:tcPr>
            <w:tcW w:w="80" w:type="dxa"/>
            <w:vAlign w:val="bottom"/>
          </w:tcPr>
          <w:p>
            <w:pPr>
              <w:spacing w:after="0"/>
              <w:rPr>
                <w:sz w:val="10"/>
                <w:szCs w:val="10"/>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8"/>
              </w:rPr>
              <w:t>Properties in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1020" w:type="dxa"/>
            <w:vAlign w:val="bottom"/>
            <w:gridSpan w:val="5"/>
          </w:tcPr>
          <w:p>
            <w:pPr>
              <w:jc w:val="center"/>
              <w:ind w:right="80"/>
              <w:spacing w:after="0" w:line="107" w:lineRule="exact"/>
              <w:rPr>
                <w:sz w:val="20"/>
                <w:szCs w:val="20"/>
                <w:color w:val="auto"/>
              </w:rPr>
            </w:pPr>
            <w:r>
              <w:rPr>
                <w:rFonts w:ascii="Arial" w:cs="Arial" w:eastAsia="Arial" w:hAnsi="Arial"/>
                <w:sz w:val="11"/>
                <w:szCs w:val="11"/>
                <w:b w:val="1"/>
                <w:bCs w:val="1"/>
                <w:color w:val="auto"/>
                <w:w w:val="98"/>
              </w:rPr>
              <w:t>Development or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Same Property Portfolio</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center"/>
              <w:ind w:right="80"/>
              <w:spacing w:after="0" w:line="119" w:lineRule="exact"/>
              <w:rPr>
                <w:sz w:val="20"/>
                <w:szCs w:val="20"/>
                <w:color w:val="auto"/>
              </w:rPr>
            </w:pPr>
            <w:r>
              <w:rPr>
                <w:rFonts w:ascii="Arial" w:cs="Arial" w:eastAsia="Arial" w:hAnsi="Arial"/>
                <w:sz w:val="11"/>
                <w:szCs w:val="11"/>
                <w:b w:val="1"/>
                <w:bCs w:val="1"/>
                <w:color w:val="auto"/>
              </w:rPr>
              <w:t>Acquired</w:t>
            </w:r>
          </w:p>
        </w:tc>
        <w:tc>
          <w:tcPr>
            <w:tcW w:w="1140" w:type="dxa"/>
            <w:vAlign w:val="bottom"/>
            <w:gridSpan w:val="5"/>
          </w:tcPr>
          <w:p>
            <w:pPr>
              <w:jc w:val="center"/>
              <w:ind w:right="100"/>
              <w:spacing w:after="0" w:line="119" w:lineRule="exact"/>
              <w:rPr>
                <w:sz w:val="20"/>
                <w:szCs w:val="20"/>
                <w:color w:val="auto"/>
              </w:rPr>
            </w:pPr>
            <w:r>
              <w:rPr>
                <w:rFonts w:ascii="Arial" w:cs="Arial" w:eastAsia="Arial" w:hAnsi="Arial"/>
                <w:sz w:val="11"/>
                <w:szCs w:val="11"/>
                <w:b w:val="1"/>
                <w:bCs w:val="1"/>
                <w:color w:val="auto"/>
              </w:rPr>
              <w:t>Placed In-Service</w:t>
            </w:r>
          </w:p>
        </w:tc>
        <w:tc>
          <w:tcPr>
            <w:tcW w:w="1020" w:type="dxa"/>
            <w:vAlign w:val="bottom"/>
            <w:gridSpan w:val="5"/>
          </w:tcPr>
          <w:p>
            <w:pPr>
              <w:jc w:val="center"/>
              <w:ind w:right="80"/>
              <w:spacing w:after="0" w:line="119" w:lineRule="exact"/>
              <w:rPr>
                <w:sz w:val="20"/>
                <w:szCs w:val="20"/>
                <w:color w:val="auto"/>
              </w:rPr>
            </w:pPr>
            <w:r>
              <w:rPr>
                <w:rFonts w:ascii="Arial" w:cs="Arial" w:eastAsia="Arial" w:hAnsi="Arial"/>
                <w:sz w:val="11"/>
                <w:szCs w:val="11"/>
                <w:b w:val="1"/>
                <w:bCs w:val="1"/>
                <w:color w:val="auto"/>
              </w:rPr>
              <w:t>Redevelopment</w:t>
            </w:r>
          </w:p>
        </w:tc>
        <w:tc>
          <w:tcPr>
            <w:tcW w:w="114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Properties Sold</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Total Property Portfolio</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7"/>
              </w:rPr>
              <w:t>Portfolio</w:t>
            </w:r>
          </w:p>
        </w:tc>
        <w:tc>
          <w:tcPr>
            <w:tcW w:w="114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3"/>
                <w:szCs w:val="13"/>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Portfolio</w:t>
            </w:r>
          </w:p>
        </w:tc>
        <w:tc>
          <w:tcPr>
            <w:tcW w:w="1140" w:type="dxa"/>
            <w:vAlign w:val="bottom"/>
            <w:gridSpan w:val="4"/>
          </w:tcPr>
          <w:p>
            <w:pPr>
              <w:ind w:left="300"/>
              <w:spacing w:after="0"/>
              <w:rPr>
                <w:sz w:val="20"/>
                <w:szCs w:val="20"/>
                <w:color w:val="auto"/>
              </w:rPr>
            </w:pPr>
            <w:r>
              <w:rPr>
                <w:rFonts w:ascii="Arial" w:cs="Arial" w:eastAsia="Arial" w:hAnsi="Arial"/>
                <w:sz w:val="11"/>
                <w:szCs w:val="11"/>
                <w:b w:val="1"/>
                <w:bCs w:val="1"/>
                <w:color w:val="auto"/>
              </w:rPr>
              <w:t>Portfolio</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ind w:left="60"/>
              <w:spacing w:after="0" w:line="103" w:lineRule="exact"/>
              <w:rPr>
                <w:sz w:val="20"/>
                <w:szCs w:val="20"/>
                <w:color w:val="auto"/>
              </w:rPr>
            </w:pPr>
            <w:r>
              <w:rPr>
                <w:rFonts w:ascii="Arial" w:cs="Arial" w:eastAsia="Arial" w:hAnsi="Arial"/>
                <w:sz w:val="11"/>
                <w:szCs w:val="11"/>
                <w:b w:val="1"/>
                <w:bCs w:val="1"/>
                <w:color w:val="auto"/>
              </w:rPr>
              <w:t>Increase/</w:t>
            </w:r>
          </w:p>
        </w:tc>
        <w:tc>
          <w:tcPr>
            <w:tcW w:w="660" w:type="dxa"/>
            <w:vAlign w:val="bottom"/>
            <w:tcBorders>
              <w:top w:val="single" w:sz="8" w:color="auto"/>
            </w:tcBorders>
          </w:tcPr>
          <w:p>
            <w:pPr>
              <w:jc w:val="right"/>
              <w:ind w:right="225"/>
              <w:spacing w:after="0" w:line="103"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3"/>
          </w:tcPr>
          <w:p>
            <w:pPr>
              <w:ind w:left="60"/>
              <w:spacing w:after="0" w:line="103" w:lineRule="exact"/>
              <w:rPr>
                <w:sz w:val="20"/>
                <w:szCs w:val="20"/>
                <w:color w:val="auto"/>
              </w:rPr>
            </w:pPr>
            <w:r>
              <w:rPr>
                <w:rFonts w:ascii="Arial" w:cs="Arial" w:eastAsia="Arial" w:hAnsi="Arial"/>
                <w:sz w:val="11"/>
                <w:szCs w:val="11"/>
                <w:b w:val="1"/>
                <w:bCs w:val="1"/>
                <w:color w:val="auto"/>
              </w:rPr>
              <w:t>Increase/</w:t>
            </w:r>
          </w:p>
        </w:tc>
        <w:tc>
          <w:tcPr>
            <w:tcW w:w="640" w:type="dxa"/>
            <w:vAlign w:val="bottom"/>
            <w:tcBorders>
              <w:top w:val="single" w:sz="8" w:color="auto"/>
            </w:tcBorders>
          </w:tcPr>
          <w:p>
            <w:pPr>
              <w:jc w:val="right"/>
              <w:ind w:right="225"/>
              <w:spacing w:after="0" w:line="103"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6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(Decrease)</w:t>
            </w: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(Decrease)</w:t>
            </w:r>
          </w:p>
        </w:tc>
        <w:tc>
          <w:tcPr>
            <w:tcW w:w="6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7"/>
          </w:tcPr>
          <w:p>
            <w:pPr>
              <w:ind w:left="20"/>
              <w:spacing w:after="0"/>
              <w:rPr>
                <w:sz w:val="20"/>
                <w:szCs w:val="20"/>
                <w:color w:val="auto"/>
              </w:rPr>
            </w:pPr>
            <w:r>
              <w:rPr>
                <w:rFonts w:ascii="Arial" w:cs="Arial" w:eastAsia="Arial" w:hAnsi="Arial"/>
                <w:sz w:val="11"/>
                <w:szCs w:val="11"/>
                <w:b w:val="1"/>
                <w:bCs w:val="1"/>
                <w:color w:val="auto"/>
              </w:rPr>
              <w:t>(dollars in thousands)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Rental Revenue: (1)</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260" w:type="dxa"/>
            <w:vAlign w:val="bottom"/>
          </w:tcPr>
          <w:p>
            <w:pPr>
              <w:ind w:left="160"/>
              <w:spacing w:after="0" w:line="113" w:lineRule="exact"/>
              <w:rPr>
                <w:sz w:val="20"/>
                <w:szCs w:val="20"/>
                <w:color w:val="auto"/>
              </w:rPr>
            </w:pPr>
            <w:r>
              <w:rPr>
                <w:rFonts w:ascii="Arial" w:cs="Arial" w:eastAsia="Arial" w:hAnsi="Arial"/>
                <w:sz w:val="11"/>
                <w:szCs w:val="11"/>
                <w:color w:val="auto"/>
              </w:rPr>
              <w:t>Lease Revenue</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60" w:type="dxa"/>
            <w:vAlign w:val="bottom"/>
          </w:tcPr>
          <w:p>
            <w:pPr>
              <w:ind w:left="300"/>
              <w:spacing w:after="0" w:line="119" w:lineRule="exact"/>
              <w:rPr>
                <w:sz w:val="20"/>
                <w:szCs w:val="20"/>
                <w:color w:val="auto"/>
              </w:rPr>
            </w:pPr>
            <w:r>
              <w:rPr>
                <w:rFonts w:ascii="Arial" w:cs="Arial" w:eastAsia="Arial" w:hAnsi="Arial"/>
                <w:sz w:val="11"/>
                <w:szCs w:val="11"/>
                <w:color w:val="auto"/>
              </w:rPr>
              <w:t>(Excluding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60" w:type="dxa"/>
            <w:vAlign w:val="bottom"/>
          </w:tcPr>
          <w:p>
            <w:pPr>
              <w:ind w:left="300"/>
              <w:spacing w:after="0" w:line="107" w:lineRule="exact"/>
              <w:rPr>
                <w:sz w:val="20"/>
                <w:szCs w:val="20"/>
                <w:color w:val="auto"/>
              </w:rPr>
            </w:pPr>
            <w:r>
              <w:rPr>
                <w:rFonts w:ascii="Arial" w:cs="Arial" w:eastAsia="Arial" w:hAnsi="Arial"/>
                <w:sz w:val="11"/>
                <w:szCs w:val="11"/>
                <w:color w:val="auto"/>
              </w:rPr>
              <w:t>Termination</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300"/>
              <w:spacing w:after="0"/>
              <w:rPr>
                <w:sz w:val="20"/>
                <w:szCs w:val="20"/>
                <w:color w:val="auto"/>
              </w:rPr>
            </w:pPr>
            <w:r>
              <w:rPr>
                <w:rFonts w:ascii="Arial" w:cs="Arial" w:eastAsia="Arial" w:hAnsi="Arial"/>
                <w:sz w:val="11"/>
                <w:szCs w:val="11"/>
                <w:color w:val="auto"/>
              </w:rPr>
              <w:t>Income)</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w w:val="96"/>
              </w:rPr>
              <w:t>$ 2,670,752</w:t>
            </w:r>
          </w:p>
        </w:tc>
        <w:tc>
          <w:tcPr>
            <w:tcW w:w="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w w:val="96"/>
              </w:rPr>
              <w:t>$ 2,588,606</w:t>
            </w: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82,146</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3.17 %</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w w:val="97"/>
              </w:rPr>
              <w:t>$ 54,057</w:t>
            </w:r>
          </w:p>
        </w:tc>
        <w:tc>
          <w:tcPr>
            <w:tcW w:w="80" w:type="dxa"/>
            <w:vAlign w:val="bottom"/>
          </w:tcPr>
          <w:p>
            <w:pPr>
              <w:spacing w:after="0"/>
              <w:rPr>
                <w:sz w:val="12"/>
                <w:szCs w:val="12"/>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w w:val="92"/>
              </w:rPr>
              <w:t>$ 6,702</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w w:val="97"/>
              </w:rPr>
              <w:t>$ 96,004</w:t>
            </w:r>
          </w:p>
        </w:tc>
        <w:tc>
          <w:tcPr>
            <w:tcW w:w="620" w:type="dxa"/>
            <w:vAlign w:val="bottom"/>
            <w:gridSpan w:val="3"/>
          </w:tcPr>
          <w:p>
            <w:pPr>
              <w:jc w:val="right"/>
              <w:ind w:right="5"/>
              <w:spacing w:after="0"/>
              <w:rPr>
                <w:sz w:val="20"/>
                <w:szCs w:val="20"/>
                <w:color w:val="auto"/>
              </w:rPr>
            </w:pPr>
            <w:r>
              <w:rPr>
                <w:rFonts w:ascii="Arial" w:cs="Arial" w:eastAsia="Arial" w:hAnsi="Arial"/>
                <w:sz w:val="11"/>
                <w:szCs w:val="11"/>
                <w:color w:val="auto"/>
              </w:rPr>
              <w:t>$ 27,422</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3,906</w:t>
            </w:r>
          </w:p>
        </w:tc>
        <w:tc>
          <w:tcPr>
            <w:tcW w:w="80" w:type="dxa"/>
            <w:vAlign w:val="bottom"/>
          </w:tcPr>
          <w:p>
            <w:pPr>
              <w:spacing w:after="0"/>
              <w:rPr>
                <w:sz w:val="12"/>
                <w:szCs w:val="12"/>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w w:val="97"/>
              </w:rPr>
              <w:t>$ 7,409</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w w:val="97"/>
              </w:rPr>
              <w:t>$ 33,853</w:t>
            </w:r>
          </w:p>
        </w:tc>
        <w:tc>
          <w:tcPr>
            <w:tcW w:w="80" w:type="dxa"/>
            <w:vAlign w:val="bottom"/>
          </w:tcPr>
          <w:p>
            <w:pPr>
              <w:spacing w:after="0"/>
              <w:rPr>
                <w:sz w:val="12"/>
                <w:szCs w:val="12"/>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w w:val="93"/>
              </w:rPr>
              <w:t>$ 69,628</w:t>
            </w:r>
          </w:p>
        </w:tc>
        <w:tc>
          <w:tcPr>
            <w:tcW w:w="8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w w:val="99"/>
              </w:rPr>
              <w:t>$ 2,858,572</w:t>
            </w:r>
          </w:p>
        </w:tc>
        <w:tc>
          <w:tcPr>
            <w:tcW w:w="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w w:val="99"/>
              </w:rPr>
              <w:t>$ 2,699,767</w:t>
            </w:r>
          </w:p>
        </w:tc>
        <w:tc>
          <w:tcPr>
            <w:tcW w:w="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158,805</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5.88 %</w:t>
            </w:r>
          </w:p>
        </w:tc>
        <w:tc>
          <w:tcPr>
            <w:tcW w:w="0" w:type="dxa"/>
            <w:vAlign w:val="bottom"/>
          </w:tcPr>
          <w:p>
            <w:pPr>
              <w:spacing w:after="0"/>
              <w:rPr>
                <w:sz w:val="1"/>
                <w:szCs w:val="1"/>
                <w:color w:val="auto"/>
              </w:rPr>
            </w:pPr>
          </w:p>
        </w:tc>
      </w:tr>
      <w:tr>
        <w:trPr>
          <w:trHeight w:val="154"/>
        </w:trPr>
        <w:tc>
          <w:tcPr>
            <w:tcW w:w="1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Termination Income</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7,302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11,482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(4,180)</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(36.40)%</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402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7,704</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11,482</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(3,778)</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(32.90)%</w:t>
            </w:r>
          </w:p>
        </w:tc>
        <w:tc>
          <w:tcPr>
            <w:tcW w:w="0" w:type="dxa"/>
            <w:vAlign w:val="bottom"/>
          </w:tcPr>
          <w:p>
            <w:pPr>
              <w:spacing w:after="0"/>
              <w:rPr>
                <w:sz w:val="1"/>
                <w:szCs w:val="1"/>
                <w:color w:val="auto"/>
              </w:rPr>
            </w:pPr>
          </w:p>
        </w:tc>
      </w:tr>
      <w:tr>
        <w:trPr>
          <w:trHeight w:val="146"/>
        </w:trPr>
        <w:tc>
          <w:tcPr>
            <w:tcW w:w="1260" w:type="dxa"/>
            <w:vAlign w:val="bottom"/>
          </w:tcPr>
          <w:p>
            <w:pPr>
              <w:ind w:left="160"/>
              <w:spacing w:after="0"/>
              <w:rPr>
                <w:sz w:val="20"/>
                <w:szCs w:val="20"/>
                <w:color w:val="auto"/>
              </w:rPr>
            </w:pPr>
            <w:r>
              <w:rPr>
                <w:rFonts w:ascii="Arial" w:cs="Arial" w:eastAsia="Arial" w:hAnsi="Arial"/>
                <w:sz w:val="11"/>
                <w:szCs w:val="11"/>
                <w:color w:val="auto"/>
              </w:rPr>
              <w:t>Lease Revenue</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2,678,054</w:t>
            </w:r>
          </w:p>
        </w:tc>
        <w:tc>
          <w:tcPr>
            <w:tcW w:w="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2,600,088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77,966</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3.00 %</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54,459</w:t>
            </w:r>
          </w:p>
        </w:tc>
        <w:tc>
          <w:tcPr>
            <w:tcW w:w="80" w:type="dxa"/>
            <w:vAlign w:val="bottom"/>
          </w:tcPr>
          <w:p>
            <w:pPr>
              <w:spacing w:after="0"/>
              <w:rPr>
                <w:sz w:val="12"/>
                <w:szCs w:val="12"/>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6,702</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96,004</w:t>
            </w:r>
          </w:p>
        </w:tc>
        <w:tc>
          <w:tcPr>
            <w:tcW w:w="620" w:type="dxa"/>
            <w:vAlign w:val="bottom"/>
            <w:gridSpan w:val="3"/>
          </w:tcPr>
          <w:p>
            <w:pPr>
              <w:jc w:val="right"/>
              <w:ind w:right="5"/>
              <w:spacing w:after="0"/>
              <w:rPr>
                <w:sz w:val="20"/>
                <w:szCs w:val="20"/>
                <w:color w:val="auto"/>
              </w:rPr>
            </w:pPr>
            <w:r>
              <w:rPr>
                <w:rFonts w:ascii="Arial" w:cs="Arial" w:eastAsia="Arial" w:hAnsi="Arial"/>
                <w:sz w:val="11"/>
                <w:szCs w:val="11"/>
                <w:color w:val="auto"/>
              </w:rPr>
              <w:t>27,422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3,906</w:t>
            </w:r>
          </w:p>
        </w:tc>
        <w:tc>
          <w:tcPr>
            <w:tcW w:w="80" w:type="dxa"/>
            <w:vAlign w:val="bottom"/>
          </w:tcPr>
          <w:p>
            <w:pPr>
              <w:spacing w:after="0"/>
              <w:rPr>
                <w:sz w:val="12"/>
                <w:szCs w:val="12"/>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7,409</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33,853</w:t>
            </w:r>
          </w:p>
        </w:tc>
        <w:tc>
          <w:tcPr>
            <w:tcW w:w="80" w:type="dxa"/>
            <w:vAlign w:val="bottom"/>
          </w:tcPr>
          <w:p>
            <w:pPr>
              <w:spacing w:after="0"/>
              <w:rPr>
                <w:sz w:val="12"/>
                <w:szCs w:val="12"/>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69,628</w:t>
            </w:r>
          </w:p>
        </w:tc>
        <w:tc>
          <w:tcPr>
            <w:tcW w:w="8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2,866,276</w:t>
            </w:r>
          </w:p>
        </w:tc>
        <w:tc>
          <w:tcPr>
            <w:tcW w:w="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2,711,249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155,027</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5.72 %</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Parking and Other</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98,913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79,565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19,348</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24.32 %</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2,348</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620" w:type="dxa"/>
            <w:vAlign w:val="bottom"/>
            <w:gridSpan w:val="3"/>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424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205</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1,126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102,136</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80,911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21,225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26.23 %</w:t>
            </w:r>
          </w:p>
        </w:tc>
        <w:tc>
          <w:tcPr>
            <w:tcW w:w="0" w:type="dxa"/>
            <w:vAlign w:val="bottom"/>
          </w:tcPr>
          <w:p>
            <w:pPr>
              <w:spacing w:after="0"/>
              <w:rPr>
                <w:sz w:val="1"/>
                <w:szCs w:val="1"/>
                <w:color w:val="auto"/>
              </w:rPr>
            </w:pPr>
          </w:p>
        </w:tc>
      </w:tr>
      <w:tr>
        <w:trPr>
          <w:trHeight w:val="93"/>
        </w:trPr>
        <w:tc>
          <w:tcPr>
            <w:tcW w:w="1260" w:type="dxa"/>
            <w:vAlign w:val="bottom"/>
          </w:tcPr>
          <w:p>
            <w:pPr>
              <w:ind w:left="20"/>
              <w:spacing w:after="0" w:line="93" w:lineRule="exact"/>
              <w:rPr>
                <w:sz w:val="20"/>
                <w:szCs w:val="20"/>
                <w:color w:val="auto"/>
              </w:rPr>
            </w:pPr>
            <w:r>
              <w:rPr>
                <w:rFonts w:ascii="Arial" w:cs="Arial" w:eastAsia="Arial" w:hAnsi="Arial"/>
                <w:sz w:val="10"/>
                <w:szCs w:val="10"/>
                <w:color w:val="auto"/>
              </w:rPr>
              <w:t>Total Rental Revenue</w:t>
            </w: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260" w:type="dxa"/>
            <w:vAlign w:val="bottom"/>
          </w:tcPr>
          <w:p>
            <w:pPr>
              <w:ind w:left="20"/>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2,776,967</w:t>
            </w:r>
          </w:p>
        </w:tc>
        <w:tc>
          <w:tcPr>
            <w:tcW w:w="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2,679,653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97,314</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3.63 %</w:t>
            </w:r>
          </w:p>
        </w:tc>
        <w:tc>
          <w:tcPr>
            <w:tcW w:w="60" w:type="dxa"/>
            <w:vAlign w:val="bottom"/>
          </w:tcPr>
          <w:p>
            <w:pPr>
              <w:spacing w:after="0"/>
              <w:rPr>
                <w:sz w:val="13"/>
                <w:szCs w:val="13"/>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56,807</w:t>
            </w:r>
          </w:p>
        </w:tc>
        <w:tc>
          <w:tcPr>
            <w:tcW w:w="80" w:type="dxa"/>
            <w:vAlign w:val="bottom"/>
          </w:tcPr>
          <w:p>
            <w:pPr>
              <w:spacing w:after="0"/>
              <w:rPr>
                <w:sz w:val="13"/>
                <w:szCs w:val="13"/>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6,702</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96,043</w:t>
            </w:r>
          </w:p>
        </w:tc>
        <w:tc>
          <w:tcPr>
            <w:tcW w:w="620" w:type="dxa"/>
            <w:vAlign w:val="bottom"/>
            <w:gridSpan w:val="3"/>
          </w:tcPr>
          <w:p>
            <w:pPr>
              <w:jc w:val="right"/>
              <w:ind w:right="5"/>
              <w:spacing w:after="0"/>
              <w:rPr>
                <w:sz w:val="20"/>
                <w:szCs w:val="20"/>
                <w:color w:val="auto"/>
              </w:rPr>
            </w:pPr>
            <w:r>
              <w:rPr>
                <w:rFonts w:ascii="Arial" w:cs="Arial" w:eastAsia="Arial" w:hAnsi="Arial"/>
                <w:sz w:val="11"/>
                <w:szCs w:val="11"/>
                <w:color w:val="auto"/>
              </w:rPr>
              <w:t>27,437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4,330</w:t>
            </w:r>
          </w:p>
        </w:tc>
        <w:tc>
          <w:tcPr>
            <w:tcW w:w="80" w:type="dxa"/>
            <w:vAlign w:val="bottom"/>
          </w:tcPr>
          <w:p>
            <w:pPr>
              <w:spacing w:after="0"/>
              <w:rPr>
                <w:sz w:val="13"/>
                <w:szCs w:val="13"/>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7,614</w:t>
            </w:r>
          </w:p>
        </w:tc>
        <w:tc>
          <w:tcPr>
            <w:tcW w:w="60" w:type="dxa"/>
            <w:vAlign w:val="bottom"/>
          </w:tcPr>
          <w:p>
            <w:pPr>
              <w:spacing w:after="0"/>
              <w:rPr>
                <w:sz w:val="13"/>
                <w:szCs w:val="13"/>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34,265</w:t>
            </w:r>
          </w:p>
        </w:tc>
        <w:tc>
          <w:tcPr>
            <w:tcW w:w="80" w:type="dxa"/>
            <w:vAlign w:val="bottom"/>
          </w:tcPr>
          <w:p>
            <w:pPr>
              <w:spacing w:after="0"/>
              <w:rPr>
                <w:sz w:val="13"/>
                <w:szCs w:val="13"/>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70,754</w:t>
            </w:r>
          </w:p>
        </w:tc>
        <w:tc>
          <w:tcPr>
            <w:tcW w:w="8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2,968,412</w:t>
            </w:r>
          </w:p>
        </w:tc>
        <w:tc>
          <w:tcPr>
            <w:tcW w:w="6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2,792,160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176,252</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6.31 %</w:t>
            </w:r>
          </w:p>
        </w:tc>
        <w:tc>
          <w:tcPr>
            <w:tcW w:w="0" w:type="dxa"/>
            <w:vAlign w:val="bottom"/>
          </w:tcPr>
          <w:p>
            <w:pPr>
              <w:spacing w:after="0"/>
              <w:rPr>
                <w:sz w:val="1"/>
                <w:szCs w:val="1"/>
                <w:color w:val="auto"/>
              </w:rPr>
            </w:pPr>
          </w:p>
        </w:tc>
      </w:tr>
      <w:tr>
        <w:trPr>
          <w:trHeight w:val="121"/>
        </w:trPr>
        <w:tc>
          <w:tcPr>
            <w:tcW w:w="12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Real Estate Operating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1,027,141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960,299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66,842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6.96 %</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12,301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1,432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25,095</w:t>
            </w:r>
          </w:p>
        </w:tc>
        <w:tc>
          <w:tcPr>
            <w:tcW w:w="620" w:type="dxa"/>
            <w:vAlign w:val="bottom"/>
            <w:gridSpan w:val="3"/>
            <w:shd w:val="clear" w:color="auto" w:fill="CCEEFF"/>
          </w:tcPr>
          <w:p>
            <w:pPr>
              <w:jc w:val="right"/>
              <w:ind w:right="5"/>
              <w:spacing w:after="0"/>
              <w:rPr>
                <w:sz w:val="20"/>
                <w:szCs w:val="20"/>
                <w:color w:val="auto"/>
              </w:rPr>
            </w:pPr>
            <w:r>
              <w:rPr>
                <w:rFonts w:ascii="Arial" w:cs="Arial" w:eastAsia="Arial" w:hAnsi="Arial"/>
                <w:sz w:val="11"/>
                <w:szCs w:val="11"/>
                <w:color w:val="auto"/>
              </w:rPr>
              <w:t>9,729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3,395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3,573</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10,555</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21,674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1,078,487</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996,707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81,780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8.21 %</w:t>
            </w:r>
          </w:p>
        </w:tc>
        <w:tc>
          <w:tcPr>
            <w:tcW w:w="0" w:type="dxa"/>
            <w:vAlign w:val="bottom"/>
          </w:tcPr>
          <w:p>
            <w:pPr>
              <w:spacing w:after="0"/>
              <w:rPr>
                <w:sz w:val="1"/>
                <w:szCs w:val="1"/>
                <w:color w:val="auto"/>
              </w:rPr>
            </w:pPr>
          </w:p>
        </w:tc>
      </w:tr>
      <w:tr>
        <w:trPr>
          <w:trHeight w:val="93"/>
        </w:trPr>
        <w:tc>
          <w:tcPr>
            <w:tcW w:w="1260" w:type="dxa"/>
            <w:vAlign w:val="bottom"/>
          </w:tcPr>
          <w:p>
            <w:pPr>
              <w:ind w:left="20"/>
              <w:spacing w:after="0" w:line="93" w:lineRule="exact"/>
              <w:rPr>
                <w:sz w:val="20"/>
                <w:szCs w:val="20"/>
                <w:color w:val="auto"/>
              </w:rPr>
            </w:pPr>
            <w:r>
              <w:rPr>
                <w:rFonts w:ascii="Arial" w:cs="Arial" w:eastAsia="Arial" w:hAnsi="Arial"/>
                <w:sz w:val="10"/>
                <w:szCs w:val="10"/>
                <w:color w:val="auto"/>
              </w:rPr>
              <w:t>Net Operating Income,</w:t>
            </w: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60" w:type="dxa"/>
            <w:vAlign w:val="bottom"/>
          </w:tcPr>
          <w:p>
            <w:pPr>
              <w:ind w:left="160"/>
              <w:spacing w:after="0" w:line="119" w:lineRule="exact"/>
              <w:rPr>
                <w:sz w:val="20"/>
                <w:szCs w:val="20"/>
                <w:color w:val="auto"/>
              </w:rPr>
            </w:pPr>
            <w:r>
              <w:rPr>
                <w:rFonts w:ascii="Arial" w:cs="Arial" w:eastAsia="Arial" w:hAnsi="Arial"/>
                <w:sz w:val="11"/>
                <w:szCs w:val="11"/>
                <w:color w:val="auto"/>
              </w:rPr>
              <w:t>Excluding Residential</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160"/>
              <w:spacing w:after="0"/>
              <w:rPr>
                <w:sz w:val="20"/>
                <w:szCs w:val="20"/>
                <w:color w:val="auto"/>
              </w:rPr>
            </w:pPr>
            <w:r>
              <w:rPr>
                <w:rFonts w:ascii="Arial" w:cs="Arial" w:eastAsia="Arial" w:hAnsi="Arial"/>
                <w:sz w:val="11"/>
                <w:szCs w:val="11"/>
                <w:color w:val="auto"/>
              </w:rPr>
              <w:t>and Hotel</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1,749,826</w:t>
            </w:r>
          </w:p>
        </w:tc>
        <w:tc>
          <w:tcPr>
            <w:tcW w:w="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1,719,354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30,472</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1.77 %</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44,506</w:t>
            </w:r>
          </w:p>
        </w:tc>
        <w:tc>
          <w:tcPr>
            <w:tcW w:w="80" w:type="dxa"/>
            <w:vAlign w:val="bottom"/>
          </w:tcPr>
          <w:p>
            <w:pPr>
              <w:spacing w:after="0"/>
              <w:rPr>
                <w:sz w:val="12"/>
                <w:szCs w:val="12"/>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5,270</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70,948</w:t>
            </w:r>
          </w:p>
        </w:tc>
        <w:tc>
          <w:tcPr>
            <w:tcW w:w="620" w:type="dxa"/>
            <w:vAlign w:val="bottom"/>
            <w:gridSpan w:val="3"/>
          </w:tcPr>
          <w:p>
            <w:pPr>
              <w:jc w:val="right"/>
              <w:ind w:right="5"/>
              <w:spacing w:after="0"/>
              <w:rPr>
                <w:sz w:val="20"/>
                <w:szCs w:val="20"/>
                <w:color w:val="auto"/>
              </w:rPr>
            </w:pPr>
            <w:r>
              <w:rPr>
                <w:rFonts w:ascii="Arial" w:cs="Arial" w:eastAsia="Arial" w:hAnsi="Arial"/>
                <w:sz w:val="11"/>
                <w:szCs w:val="11"/>
                <w:color w:val="auto"/>
              </w:rPr>
              <w:t>17,708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935</w:t>
            </w:r>
          </w:p>
        </w:tc>
        <w:tc>
          <w:tcPr>
            <w:tcW w:w="80" w:type="dxa"/>
            <w:vAlign w:val="bottom"/>
          </w:tcPr>
          <w:p>
            <w:pPr>
              <w:spacing w:after="0"/>
              <w:rPr>
                <w:sz w:val="12"/>
                <w:szCs w:val="12"/>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4,041</w:t>
            </w:r>
          </w:p>
        </w:tc>
        <w:tc>
          <w:tcPr>
            <w:tcW w:w="6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23,710</w:t>
            </w:r>
          </w:p>
        </w:tc>
        <w:tc>
          <w:tcPr>
            <w:tcW w:w="80" w:type="dxa"/>
            <w:vAlign w:val="bottom"/>
          </w:tcPr>
          <w:p>
            <w:pPr>
              <w:spacing w:after="0"/>
              <w:rPr>
                <w:sz w:val="12"/>
                <w:szCs w:val="12"/>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49,080</w:t>
            </w:r>
          </w:p>
        </w:tc>
        <w:tc>
          <w:tcPr>
            <w:tcW w:w="8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1,889,925</w:t>
            </w:r>
          </w:p>
        </w:tc>
        <w:tc>
          <w:tcPr>
            <w:tcW w:w="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1,795,453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94,472</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5.26 %</w:t>
            </w:r>
          </w:p>
        </w:tc>
        <w:tc>
          <w:tcPr>
            <w:tcW w:w="0" w:type="dxa"/>
            <w:vAlign w:val="bottom"/>
          </w:tcPr>
          <w:p>
            <w:pPr>
              <w:spacing w:after="0"/>
              <w:rPr>
                <w:sz w:val="1"/>
                <w:szCs w:val="1"/>
                <w:color w:val="auto"/>
              </w:rPr>
            </w:pPr>
          </w:p>
        </w:tc>
      </w:tr>
      <w:tr>
        <w:trPr>
          <w:trHeight w:val="121"/>
        </w:trPr>
        <w:tc>
          <w:tcPr>
            <w:tcW w:w="12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Residential Net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Operating Income (2)</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21,351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11,718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9,633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82.21 %</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6,247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6,506</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27,598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18,224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9,374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51.44 %</w:t>
            </w:r>
          </w:p>
        </w:tc>
        <w:tc>
          <w:tcPr>
            <w:tcW w:w="0" w:type="dxa"/>
            <w:vAlign w:val="bottom"/>
          </w:tcPr>
          <w:p>
            <w:pPr>
              <w:spacing w:after="0"/>
              <w:rPr>
                <w:sz w:val="1"/>
                <w:szCs w:val="1"/>
                <w:color w:val="auto"/>
              </w:rPr>
            </w:pPr>
          </w:p>
        </w:tc>
      </w:tr>
      <w:tr>
        <w:trPr>
          <w:trHeight w:val="113"/>
        </w:trPr>
        <w:tc>
          <w:tcPr>
            <w:tcW w:w="1260" w:type="dxa"/>
            <w:vAlign w:val="bottom"/>
          </w:tcPr>
          <w:p>
            <w:pPr>
              <w:ind w:left="20"/>
              <w:spacing w:after="0" w:line="113" w:lineRule="exact"/>
              <w:rPr>
                <w:sz w:val="20"/>
                <w:szCs w:val="20"/>
                <w:color w:val="auto"/>
              </w:rPr>
            </w:pPr>
            <w:r>
              <w:rPr>
                <w:rFonts w:ascii="Arial" w:cs="Arial" w:eastAsia="Arial" w:hAnsi="Arial"/>
                <w:sz w:val="11"/>
                <w:szCs w:val="11"/>
                <w:color w:val="auto"/>
              </w:rPr>
              <w:t>Hotel Net Operating</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Income (2)</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12,004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611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11,393</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1,864.65 %</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12,004</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611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11,393</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1,864.65 %</w:t>
            </w: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Operating Income</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6"/>
              </w:rPr>
              <w:t>$ 1,783,181</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6"/>
              </w:rPr>
              <w:t>$ 1,731,683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51,498</w:t>
            </w: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2.97 %</w:t>
            </w: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$ 44,506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2"/>
              </w:rPr>
              <w:t>$ 5,270</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$ 70,948</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$ 17,708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935</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$ 4,041</w:t>
            </w: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$ 29,957</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3"/>
              </w:rPr>
              <w:t>$ 55,586</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9"/>
              </w:rPr>
              <w:t>$ 1,929,527</w:t>
            </w: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9"/>
              </w:rPr>
              <w:t>$ 1,814,288</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115,239</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6.35 %</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1" w:lineRule="exact"/>
        <w:rPr>
          <w:sz w:val="20"/>
          <w:szCs w:val="20"/>
          <w:color w:val="auto"/>
        </w:rPr>
      </w:pPr>
    </w:p>
    <w:p>
      <w:pPr>
        <w:ind w:left="560" w:right="180" w:hanging="281"/>
        <w:spacing w:after="0" w:line="242" w:lineRule="auto"/>
        <w:tabs>
          <w:tab w:leader="none" w:pos="548"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 w:lineRule="exact"/>
        <w:rPr>
          <w:rFonts w:ascii="Arial" w:cs="Arial" w:eastAsia="Arial" w:hAnsi="Arial"/>
          <w:sz w:val="13"/>
          <w:szCs w:val="13"/>
          <w:color w:val="auto"/>
        </w:rPr>
      </w:pPr>
    </w:p>
    <w:p>
      <w:pPr>
        <w:ind w:left="560" w:right="100" w:hanging="281"/>
        <w:spacing w:after="0" w:line="242" w:lineRule="auto"/>
        <w:tabs>
          <w:tab w:leader="none" w:pos="548"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a detailed discussion of NOI, including the reasons management believes NOI is useful to investors, see page 70. Residential Net Operating Income for the year ended December 31, 2022 and 2021 is comprised of Residential Revenue of $57,181 and $42,668 less Residential Expenses of $29,583 and $24,444, respectively. Hotel Net Operating Income for the year ended December 31, 2022 and 2021 is comprised of Hotel Revenue of $39,482 and $13,609 less Hotel Expenses of $27,478 and $12,998, respectively, per the Consolidated Statements of Operations.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Same Property Portfolio</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Lease Revenue (Excluding Termination Income)</w:t>
      </w:r>
    </w:p>
    <w:p>
      <w:pPr>
        <w:spacing w:after="0" w:line="107"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Lease revenue (excluding termination income) from the Same Property Portfolio increased by approximately $82.1 million for the year ended December 31, 2022 compared to 2021. The increase was a result of our average revenue per square foot increasing by approximately $2.96, contributing approximately $99.3 million, partially offset by average occupancy decreasing from 91.7% to 91.1%, resulting in a decrease of approximately $17.2 million.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Termination Income</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Termination income decreased by approximately $4.2 million for the year ended December 31, 2022 compared to 2021.</w:t>
      </w:r>
    </w:p>
    <w:p>
      <w:pPr>
        <w:spacing w:after="0" w:line="148" w:lineRule="exact"/>
        <w:rPr>
          <w:sz w:val="20"/>
          <w:szCs w:val="20"/>
          <w:color w:val="auto"/>
        </w:rPr>
      </w:pPr>
    </w:p>
    <w:p>
      <w:pPr>
        <w:ind w:right="280" w:firstLine="391"/>
        <w:spacing w:after="0" w:line="250" w:lineRule="auto"/>
        <w:rPr>
          <w:sz w:val="20"/>
          <w:szCs w:val="20"/>
          <w:color w:val="auto"/>
        </w:rPr>
      </w:pPr>
      <w:r>
        <w:rPr>
          <w:rFonts w:ascii="Arial" w:cs="Arial" w:eastAsia="Arial" w:hAnsi="Arial"/>
          <w:sz w:val="16"/>
          <w:szCs w:val="16"/>
          <w:color w:val="auto"/>
        </w:rPr>
        <w:t>Termination income for the year ended December 31, 2022 related to approximately 29 clients across the Same Property Portfolio and totaled approximately $6.7 million, which was primarily related to clients that terminated leases early in New York City. In addition, we received a distribution from our unsecured credit claim against Lehman Brothers, Inc. of approximately $0.6 million.</w:t>
      </w:r>
    </w:p>
    <w:p>
      <w:pPr>
        <w:spacing w:after="0" w:line="136"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Termination income for the year ended December 31, 2021 related to 27 clients across the Same Property Portfolio and totaled approximately $11.5 million, which was primarily related to clients that terminated leases early in New York City and the Boston region.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Parking and Other Revenue</w:t>
      </w:r>
    </w:p>
    <w:p>
      <w:pPr>
        <w:spacing w:after="0" w:line="95" w:lineRule="exact"/>
        <w:rPr>
          <w:sz w:val="20"/>
          <w:szCs w:val="20"/>
          <w:color w:val="auto"/>
        </w:rPr>
      </w:pPr>
    </w:p>
    <w:p>
      <w:pPr>
        <w:ind w:right="80" w:firstLine="356"/>
        <w:spacing w:after="0" w:line="250" w:lineRule="auto"/>
        <w:rPr>
          <w:sz w:val="20"/>
          <w:szCs w:val="20"/>
          <w:color w:val="auto"/>
        </w:rPr>
      </w:pPr>
      <w:r>
        <w:rPr>
          <w:rFonts w:ascii="Arial" w:cs="Arial" w:eastAsia="Arial" w:hAnsi="Arial"/>
          <w:sz w:val="16"/>
          <w:szCs w:val="16"/>
          <w:color w:val="auto"/>
        </w:rPr>
        <w:t>Parking and other revenue increased by approximately $19.3 million for the year ended December 31, 2022 compared to 2021. Parking revenue increased by approximately $19.7 million and was partially offset by a decrease in other revenue of approximately $0.4 million. The increase in parking revenue was primarily due to an increase in transient and monthly parking primarily in the Boston region.</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Real Estate Operating Expenses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operating expenses from the Same Property Portfolio increased by approximately $66.8 million, or 7.0%, for the year ended December 31,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2022 compared to 2021, due primarily to an increase in operating expenses, including cleaning, utilities, repairs and maintenance, and roads/grounds/security.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expenses was primarily driven by an increase in physical occupancy.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Properties Acquired Portfolio</w:t>
      </w:r>
    </w:p>
    <w:p>
      <w:pPr>
        <w:spacing w:after="0" w:line="107" w:lineRule="exact"/>
        <w:rPr>
          <w:sz w:val="20"/>
          <w:szCs w:val="20"/>
          <w:color w:val="auto"/>
        </w:rPr>
      </w:pPr>
    </w:p>
    <w:p>
      <w:pPr>
        <w:ind w:right="540" w:firstLine="391"/>
        <w:spacing w:after="0" w:line="286" w:lineRule="auto"/>
        <w:rPr>
          <w:sz w:val="20"/>
          <w:szCs w:val="20"/>
          <w:color w:val="auto"/>
        </w:rPr>
      </w:pPr>
      <w:r>
        <w:rPr>
          <w:rFonts w:ascii="Arial" w:cs="Arial" w:eastAsia="Arial" w:hAnsi="Arial"/>
          <w:sz w:val="15"/>
          <w:szCs w:val="15"/>
          <w:color w:val="auto"/>
        </w:rPr>
        <w:t>The table below lists the properties acquired between January 1, 2021 and December 31, 2022. Rental revenue and real estate operating expenses increased by approximately $50.1 million and $10.9 million, respectively, for the year ended December 31, 2022 compared to 2021, as detailed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99"/>
              </w:rPr>
              <w:t>Rental Revenue</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77"/>
              <w:spacing w:after="0"/>
              <w:rPr>
                <w:sz w:val="20"/>
                <w:szCs w:val="20"/>
                <w:color w:val="auto"/>
              </w:rPr>
            </w:pPr>
            <w:r>
              <w:rPr>
                <w:rFonts w:ascii="Arial" w:cs="Arial" w:eastAsia="Arial" w:hAnsi="Arial"/>
                <w:sz w:val="12"/>
                <w:szCs w:val="12"/>
                <w:b w:val="1"/>
                <w:bCs w:val="1"/>
                <w:color w:val="auto"/>
              </w:rPr>
              <w:t>Real Estate Operating Expenses</w:t>
            </w:r>
          </w:p>
        </w:tc>
      </w:tr>
      <w:tr>
        <w:trPr>
          <w:trHeight w:val="217"/>
        </w:trPr>
        <w:tc>
          <w:tcPr>
            <w:tcW w:w="240" w:type="dxa"/>
            <w:vAlign w:val="bottom"/>
          </w:tcPr>
          <w:p>
            <w:pPr>
              <w:spacing w:after="0"/>
              <w:rPr>
                <w:sz w:val="18"/>
                <w:szCs w:val="18"/>
                <w:color w:val="auto"/>
              </w:rPr>
            </w:pPr>
          </w:p>
        </w:tc>
        <w:tc>
          <w:tcPr>
            <w:tcW w:w="2620" w:type="dxa"/>
            <w:vAlign w:val="bottom"/>
            <w:gridSpan w:val="2"/>
          </w:tcPr>
          <w:p>
            <w:pPr>
              <w:ind w:left="980"/>
              <w:spacing w:after="0"/>
              <w:rPr>
                <w:sz w:val="20"/>
                <w:szCs w:val="20"/>
                <w:color w:val="auto"/>
              </w:rPr>
            </w:pPr>
            <w:r>
              <w:rPr>
                <w:rFonts w:ascii="Arial" w:cs="Arial" w:eastAsia="Arial" w:hAnsi="Arial"/>
                <w:sz w:val="12"/>
                <w:szCs w:val="12"/>
                <w:b w:val="1"/>
                <w:bCs w:val="1"/>
                <w:color w:val="auto"/>
              </w:rPr>
              <w:t>Name</w:t>
            </w:r>
          </w:p>
        </w:tc>
        <w:tc>
          <w:tcPr>
            <w:tcW w:w="1800" w:type="dxa"/>
            <w:vAlign w:val="bottom"/>
            <w:gridSpan w:val="2"/>
          </w:tcPr>
          <w:p>
            <w:pPr>
              <w:ind w:left="460"/>
              <w:spacing w:after="0"/>
              <w:rPr>
                <w:sz w:val="20"/>
                <w:szCs w:val="20"/>
                <w:color w:val="auto"/>
              </w:rPr>
            </w:pPr>
            <w:r>
              <w:rPr>
                <w:rFonts w:ascii="Arial" w:cs="Arial" w:eastAsia="Arial" w:hAnsi="Arial"/>
                <w:sz w:val="12"/>
                <w:szCs w:val="12"/>
                <w:b w:val="1"/>
                <w:bCs w:val="1"/>
                <w:color w:val="auto"/>
              </w:rPr>
              <w:t>Date acquired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Square Feet</w:t>
            </w:r>
          </w:p>
        </w:tc>
        <w:tc>
          <w:tcPr>
            <w:tcW w:w="180" w:type="dxa"/>
            <w:vAlign w:val="bottom"/>
          </w:tcPr>
          <w:p>
            <w:pPr>
              <w:spacing w:after="0"/>
              <w:rPr>
                <w:sz w:val="18"/>
                <w:szCs w:val="18"/>
                <w:color w:val="auto"/>
              </w:rPr>
            </w:pPr>
          </w:p>
        </w:tc>
        <w:tc>
          <w:tcPr>
            <w:tcW w:w="660" w:type="dxa"/>
            <w:vAlign w:val="bottom"/>
          </w:tcPr>
          <w:p>
            <w:pPr>
              <w:jc w:val="right"/>
              <w:ind w:right="237"/>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8"/>
                <w:szCs w:val="18"/>
                <w:color w:val="auto"/>
              </w:rPr>
            </w:pPr>
          </w:p>
        </w:tc>
        <w:tc>
          <w:tcPr>
            <w:tcW w:w="680" w:type="dxa"/>
            <w:vAlign w:val="bottom"/>
          </w:tcPr>
          <w:p>
            <w:pPr>
              <w:jc w:val="right"/>
              <w:ind w:right="238"/>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7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2"/>
                <w:szCs w:val="12"/>
                <w:b w:val="1"/>
                <w:bCs w:val="1"/>
                <w:color w:val="auto"/>
              </w:rPr>
              <w:t>Change</w:t>
            </w:r>
          </w:p>
        </w:tc>
      </w:tr>
      <w:tr>
        <w:trPr>
          <w:trHeight w:val="159"/>
        </w:trPr>
        <w:tc>
          <w:tcPr>
            <w:tcW w:w="2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2"/>
                <w:szCs w:val="12"/>
                <w:b w:val="1"/>
                <w:bCs w:val="1"/>
                <w:color w:val="auto"/>
              </w:rPr>
              <w:t>(dollars in thousands)</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r>
      <w:tr>
        <w:trPr>
          <w:trHeight w:val="183"/>
        </w:trPr>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153</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&amp; 211 Second Avenue</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2, 2021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r>
      <w:tr>
        <w:trPr>
          <w:trHeight w:val="173"/>
        </w:trPr>
        <w:tc>
          <w:tcPr>
            <w:tcW w:w="2860" w:type="dxa"/>
            <w:vAlign w:val="bottom"/>
            <w:gridSpan w:val="3"/>
          </w:tcPr>
          <w:p>
            <w:pPr>
              <w:ind w:left="20"/>
              <w:spacing w:after="0"/>
              <w:rPr>
                <w:sz w:val="20"/>
                <w:szCs w:val="20"/>
                <w:color w:val="auto"/>
              </w:rPr>
            </w:pPr>
            <w:r>
              <w:rPr>
                <w:rFonts w:ascii="Arial" w:cs="Arial" w:eastAsia="Arial" w:hAnsi="Arial"/>
                <w:sz w:val="13"/>
                <w:szCs w:val="13"/>
                <w:color w:val="auto"/>
              </w:rPr>
              <w:t>Shady Grove Innovation District</w:t>
            </w: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August 2, 2021</w:t>
            </w:r>
          </w:p>
        </w:tc>
        <w:tc>
          <w:tcPr>
            <w:tcW w:w="920" w:type="dxa"/>
            <w:vAlign w:val="bottom"/>
          </w:tcPr>
          <w:p>
            <w:pPr>
              <w:jc w:val="right"/>
              <w:spacing w:after="0"/>
              <w:rPr>
                <w:sz w:val="20"/>
                <w:szCs w:val="20"/>
                <w:color w:val="auto"/>
              </w:rPr>
            </w:pPr>
            <w:r>
              <w:rPr>
                <w:rFonts w:ascii="Arial" w:cs="Arial" w:eastAsia="Arial" w:hAnsi="Arial"/>
                <w:sz w:val="13"/>
                <w:szCs w:val="13"/>
                <w:color w:val="auto"/>
              </w:rPr>
              <w:t>182,290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82"/>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Madison Centre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May 17, 2022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754,988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8,386</w:t>
            </w:r>
          </w:p>
        </w:tc>
      </w:tr>
      <w:tr>
        <w:trPr>
          <w:trHeight w:val="173"/>
        </w:trPr>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2"/>
              </w:rPr>
              <w:t>125</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Broadway</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September 16, 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271,000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11,440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w:t>
            </w:r>
          </w:p>
        </w:tc>
      </w:tr>
      <w:tr>
        <w:trPr>
          <w:trHeight w:val="190"/>
        </w:trPr>
        <w:tc>
          <w:tcPr>
            <w:tcW w:w="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1,345,160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10,869</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8" w:lineRule="exact"/>
        <w:rPr>
          <w:sz w:val="20"/>
          <w:szCs w:val="20"/>
          <w:color w:val="auto"/>
        </w:rPr>
      </w:pPr>
    </w:p>
    <w:p>
      <w:pPr>
        <w:ind w:left="480" w:hanging="272"/>
        <w:spacing w:after="0"/>
        <w:tabs>
          <w:tab w:leader="none" w:pos="480" w:val="left"/>
        </w:tabs>
        <w:numPr>
          <w:ilvl w:val="0"/>
          <w:numId w:val="70"/>
        </w:numPr>
        <w:rPr>
          <w:rFonts w:ascii="Arial" w:cs="Arial" w:eastAsia="Arial" w:hAnsi="Arial"/>
          <w:sz w:val="13"/>
          <w:szCs w:val="13"/>
          <w:color w:val="auto"/>
        </w:rPr>
      </w:pPr>
      <w:r>
        <w:rPr>
          <w:rFonts w:ascii="Arial" w:cs="Arial" w:eastAsia="Arial" w:hAnsi="Arial"/>
          <w:sz w:val="14"/>
          <w:szCs w:val="14"/>
          <w:color w:val="auto"/>
        </w:rPr>
        <w:t>Rental revenue for the year ended December 31, 2022 includes approximately $0.4 million of termination income.</w:t>
      </w:r>
    </w:p>
    <w:p>
      <w:pPr>
        <w:spacing w:after="0" w:line="200" w:lineRule="exact"/>
        <w:rPr>
          <w:rFonts w:ascii="Arial" w:cs="Arial" w:eastAsia="Arial" w:hAnsi="Arial"/>
          <w:sz w:val="13"/>
          <w:szCs w:val="13"/>
          <w:color w:val="auto"/>
        </w:rPr>
      </w:pPr>
    </w:p>
    <w:p>
      <w:pPr>
        <w:spacing w:after="0" w:line="28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u w:val="single" w:color="auto"/>
          <w:color w:val="auto"/>
        </w:rPr>
        <w:t>Properties Placed In-Service Portfolio</w:t>
      </w:r>
    </w:p>
    <w:p>
      <w:pPr>
        <w:spacing w:after="0" w:line="95" w:lineRule="exact"/>
        <w:rPr>
          <w:sz w:val="20"/>
          <w:szCs w:val="20"/>
          <w:color w:val="auto"/>
        </w:rPr>
      </w:pPr>
    </w:p>
    <w:p>
      <w:pPr>
        <w:ind w:right="380" w:firstLine="391"/>
        <w:spacing w:after="0" w:line="250" w:lineRule="auto"/>
        <w:rPr>
          <w:sz w:val="20"/>
          <w:szCs w:val="20"/>
          <w:color w:val="auto"/>
        </w:rPr>
      </w:pPr>
      <w:r>
        <w:rPr>
          <w:rFonts w:ascii="Arial" w:cs="Arial" w:eastAsia="Arial" w:hAnsi="Arial"/>
          <w:sz w:val="16"/>
          <w:szCs w:val="16"/>
          <w:color w:val="auto"/>
        </w:rPr>
        <w:t>The table below lists the properties that were placed in-service or partially placed in-service between January 1, 2021 and December 31, 2022. Rental revenue and real estate operating expenses from our Properties Placed In-Service Portfolio increased by approximately $68.6 million and $15.4 million, respectively, for the year ended December 31, 2022 compared to 2021, as detailed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Rental Revenue</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357"/>
              <w:spacing w:after="0"/>
              <w:rPr>
                <w:sz w:val="20"/>
                <w:szCs w:val="20"/>
                <w:color w:val="auto"/>
              </w:rPr>
            </w:pPr>
            <w:r>
              <w:rPr>
                <w:rFonts w:ascii="Arial" w:cs="Arial" w:eastAsia="Arial" w:hAnsi="Arial"/>
                <w:sz w:val="12"/>
                <w:szCs w:val="12"/>
                <w:b w:val="1"/>
                <w:bCs w:val="1"/>
                <w:color w:val="auto"/>
              </w:rPr>
              <w:t>Real Estate Operating Expenses</w:t>
            </w:r>
          </w:p>
        </w:tc>
        <w:tc>
          <w:tcPr>
            <w:tcW w:w="0" w:type="dxa"/>
            <w:vAlign w:val="bottom"/>
          </w:tcPr>
          <w:p>
            <w:pPr>
              <w:spacing w:after="0"/>
              <w:rPr>
                <w:sz w:val="1"/>
                <w:szCs w:val="1"/>
                <w:color w:val="auto"/>
              </w:rPr>
            </w:pPr>
          </w:p>
        </w:tc>
      </w:tr>
      <w:tr>
        <w:trPr>
          <w:trHeight w:val="154"/>
        </w:trPr>
        <w:tc>
          <w:tcPr>
            <w:tcW w:w="1620" w:type="dxa"/>
            <w:vAlign w:val="bottom"/>
            <w:vMerge w:val="restart"/>
          </w:tcPr>
          <w:p>
            <w:pPr>
              <w:ind w:left="660"/>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Quarter Initially Placed</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Quarter Fully Placed In-</w:t>
            </w:r>
          </w:p>
        </w:tc>
        <w:tc>
          <w:tcPr>
            <w:tcW w:w="10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Square Feet</w:t>
            </w:r>
          </w:p>
        </w:tc>
        <w:tc>
          <w:tcPr>
            <w:tcW w:w="180" w:type="dxa"/>
            <w:vAlign w:val="bottom"/>
          </w:tcPr>
          <w:p>
            <w:pPr>
              <w:spacing w:after="0"/>
              <w:rPr>
                <w:sz w:val="13"/>
                <w:szCs w:val="13"/>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9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Change</w:t>
            </w:r>
          </w:p>
        </w:tc>
        <w:tc>
          <w:tcPr>
            <w:tcW w:w="180" w:type="dxa"/>
            <w:vAlign w:val="bottom"/>
          </w:tcPr>
          <w:p>
            <w:pPr>
              <w:spacing w:after="0"/>
              <w:rPr>
                <w:sz w:val="13"/>
                <w:szCs w:val="13"/>
                <w:color w:val="auto"/>
              </w:rPr>
            </w:pPr>
          </w:p>
        </w:tc>
        <w:tc>
          <w:tcPr>
            <w:tcW w:w="6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3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1"/>
        </w:trPr>
        <w:tc>
          <w:tcPr>
            <w:tcW w:w="1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In-Service</w:t>
            </w:r>
          </w:p>
        </w:tc>
        <w:tc>
          <w:tcPr>
            <w:tcW w:w="1460" w:type="dxa"/>
            <w:vAlign w:val="bottom"/>
            <w:gridSpan w:val="2"/>
          </w:tcPr>
          <w:p>
            <w:pPr>
              <w:ind w:left="460"/>
              <w:spacing w:after="0"/>
              <w:rPr>
                <w:sz w:val="20"/>
                <w:szCs w:val="20"/>
                <w:color w:val="auto"/>
              </w:rPr>
            </w:pPr>
            <w:r>
              <w:rPr>
                <w:rFonts w:ascii="Arial" w:cs="Arial" w:eastAsia="Arial" w:hAnsi="Arial"/>
                <w:sz w:val="12"/>
                <w:szCs w:val="12"/>
                <w:b w:val="1"/>
                <w:bCs w:val="1"/>
                <w:color w:val="auto"/>
              </w:rPr>
              <w:t>Service</w:t>
            </w: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jc w:val="right"/>
              <w:ind w:right="400"/>
              <w:spacing w:after="0"/>
              <w:rPr>
                <w:sz w:val="20"/>
                <w:szCs w:val="20"/>
                <w:color w:val="auto"/>
              </w:rPr>
            </w:pPr>
            <w:r>
              <w:rPr>
                <w:rFonts w:ascii="Arial" w:cs="Arial" w:eastAsia="Arial" w:hAnsi="Arial"/>
                <w:sz w:val="12"/>
                <w:szCs w:val="12"/>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One Five Nine East 53rd</w:t>
            </w:r>
          </w:p>
        </w:tc>
        <w:tc>
          <w:tcPr>
            <w:tcW w:w="1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Quarter, 2021</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Quarter, 2021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220,000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17,909</w:t>
            </w: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15,672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3,582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50"/>
        </w:trPr>
        <w:tc>
          <w:tcPr>
            <w:tcW w:w="1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Street (1)</w:t>
            </w:r>
          </w:p>
        </w:tc>
        <w:tc>
          <w:tcPr>
            <w:tcW w:w="120" w:type="dxa"/>
            <w:vAlign w:val="bottom"/>
            <w:shd w:val="clear" w:color="auto" w:fill="CCEEFF"/>
          </w:tcPr>
          <w:p>
            <w:pPr>
              <w:spacing w:after="0"/>
              <w:rPr>
                <w:sz w:val="13"/>
                <w:szCs w:val="13"/>
                <w:color w:val="auto"/>
              </w:rPr>
            </w:pPr>
          </w:p>
        </w:tc>
        <w:tc>
          <w:tcPr>
            <w:tcW w:w="1460" w:type="dxa"/>
            <w:vAlign w:val="bottom"/>
            <w:gridSpan w:val="2"/>
            <w:vMerge w:val="continue"/>
            <w:shd w:val="clear" w:color="auto" w:fill="CCEEFF"/>
          </w:tcPr>
          <w:p>
            <w:pPr>
              <w:spacing w:after="0"/>
              <w:rPr>
                <w:sz w:val="13"/>
                <w:szCs w:val="13"/>
                <w:color w:val="auto"/>
              </w:rPr>
            </w:pPr>
          </w:p>
        </w:tc>
        <w:tc>
          <w:tcPr>
            <w:tcW w:w="146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3"/>
                <w:szCs w:val="13"/>
                <w:color w:val="auto"/>
              </w:rPr>
              <w:t>200 West Street (2)</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Fourth Quarter, 2020</w:t>
            </w: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Fourth Quarter, 2021</w:t>
            </w:r>
          </w:p>
        </w:tc>
        <w:tc>
          <w:tcPr>
            <w:tcW w:w="960" w:type="dxa"/>
            <w:vAlign w:val="bottom"/>
          </w:tcPr>
          <w:p>
            <w:pPr>
              <w:jc w:val="right"/>
              <w:spacing w:after="0"/>
              <w:rPr>
                <w:sz w:val="20"/>
                <w:szCs w:val="20"/>
                <w:color w:val="auto"/>
              </w:rPr>
            </w:pPr>
            <w:r>
              <w:rPr>
                <w:rFonts w:ascii="Arial" w:cs="Arial" w:eastAsia="Arial" w:hAnsi="Arial"/>
                <w:sz w:val="13"/>
                <w:szCs w:val="13"/>
                <w:color w:val="auto"/>
              </w:rPr>
              <w:t>273,365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2,338</w:t>
            </w:r>
          </w:p>
        </w:tc>
        <w:tc>
          <w:tcPr>
            <w:tcW w:w="0" w:type="dxa"/>
            <w:vAlign w:val="bottom"/>
          </w:tcPr>
          <w:p>
            <w:pPr>
              <w:spacing w:after="0"/>
              <w:rPr>
                <w:sz w:val="1"/>
                <w:szCs w:val="1"/>
                <w:color w:val="auto"/>
              </w:rPr>
            </w:pPr>
          </w:p>
        </w:tc>
      </w:tr>
      <w:tr>
        <w:trPr>
          <w:trHeight w:val="182"/>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Reston Next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 2021</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 2022</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1,063,236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10,691</w:t>
            </w: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3"/>
                <w:szCs w:val="13"/>
                <w:color w:val="auto"/>
              </w:rPr>
              <w:t>325 Main Street (3)</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Second Quarter, 2022</w:t>
            </w: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Second Quarter, 2022</w:t>
            </w:r>
          </w:p>
        </w:tc>
        <w:tc>
          <w:tcPr>
            <w:tcW w:w="960" w:type="dxa"/>
            <w:vAlign w:val="bottom"/>
          </w:tcPr>
          <w:p>
            <w:pPr>
              <w:jc w:val="right"/>
              <w:spacing w:after="0"/>
              <w:rPr>
                <w:sz w:val="20"/>
                <w:szCs w:val="20"/>
                <w:color w:val="auto"/>
              </w:rPr>
            </w:pPr>
            <w:r>
              <w:rPr>
                <w:rFonts w:ascii="Arial" w:cs="Arial" w:eastAsia="Arial" w:hAnsi="Arial"/>
                <w:sz w:val="13"/>
                <w:szCs w:val="13"/>
                <w:color w:val="auto"/>
              </w:rPr>
              <w:t>414,008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2,215</w:t>
            </w:r>
          </w:p>
        </w:tc>
        <w:tc>
          <w:tcPr>
            <w:tcW w:w="0" w:type="dxa"/>
            <w:vAlign w:val="bottom"/>
          </w:tcPr>
          <w:p>
            <w:pPr>
              <w:spacing w:after="0"/>
              <w:rPr>
                <w:sz w:val="1"/>
                <w:szCs w:val="1"/>
                <w:color w:val="auto"/>
              </w:rPr>
            </w:pPr>
          </w:p>
        </w:tc>
      </w:tr>
      <w:tr>
        <w:trPr>
          <w:trHeight w:val="182"/>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2100 Pennsylvania Avenue</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Quarter, 2022</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0" w:type="dxa"/>
            <w:vAlign w:val="bottom"/>
          </w:tcPr>
          <w:p>
            <w:pPr>
              <w:spacing w:after="0"/>
              <w:rPr>
                <w:sz w:val="1"/>
                <w:szCs w:val="1"/>
                <w:color w:val="auto"/>
              </w:rPr>
            </w:pPr>
          </w:p>
        </w:tc>
      </w:tr>
      <w:tr>
        <w:trPr>
          <w:trHeight w:val="17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880 Winter Street (4)</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Third Quarter, 2022</w:t>
            </w: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Fourth Quarter,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243,618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90"/>
        </w:trPr>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2,694,227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480" w:hanging="2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This is the low-rise portion of 601 Lexington Avenue.</w:t>
      </w:r>
    </w:p>
    <w:p>
      <w:pPr>
        <w:spacing w:after="0" w:line="4" w:lineRule="exact"/>
        <w:rPr>
          <w:rFonts w:ascii="Arial" w:cs="Arial" w:eastAsia="Arial" w:hAnsi="Arial"/>
          <w:sz w:val="14"/>
          <w:szCs w:val="14"/>
          <w:color w:val="auto"/>
        </w:rPr>
      </w:pPr>
    </w:p>
    <w:p>
      <w:pPr>
        <w:ind w:left="480" w:hanging="2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138,444 square feet of redevelopment that was fully placed in-service in December 2021.</w:t>
      </w:r>
    </w:p>
    <w:p>
      <w:pPr>
        <w:spacing w:after="0" w:line="16" w:lineRule="exact"/>
        <w:rPr>
          <w:rFonts w:ascii="Arial" w:cs="Arial" w:eastAsia="Arial" w:hAnsi="Arial"/>
          <w:sz w:val="14"/>
          <w:szCs w:val="14"/>
          <w:color w:val="auto"/>
        </w:rPr>
      </w:pPr>
    </w:p>
    <w:p>
      <w:pPr>
        <w:ind w:left="480" w:hanging="2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Real estate operating expenses for the year ended December 31, 2021 were related to demolition costs.</w:t>
      </w:r>
    </w:p>
    <w:p>
      <w:pPr>
        <w:spacing w:after="0" w:line="4" w:lineRule="exact"/>
        <w:rPr>
          <w:rFonts w:ascii="Arial" w:cs="Arial" w:eastAsia="Arial" w:hAnsi="Arial"/>
          <w:sz w:val="14"/>
          <w:szCs w:val="14"/>
          <w:color w:val="auto"/>
        </w:rPr>
      </w:pPr>
    </w:p>
    <w:p>
      <w:pPr>
        <w:ind w:left="480" w:hanging="2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Conversion of a 224,000 square foot office property located in Waltham, Massachusetts to laboratory space.</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u w:val="single" w:color="auto"/>
          <w:color w:val="auto"/>
        </w:rPr>
        <w:t>Properties in Development or Redevelopment Portfolio</w:t>
      </w:r>
    </w:p>
    <w:p>
      <w:pPr>
        <w:spacing w:after="0" w:line="107"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The table below lists the properties that were in development or redevelopment between January 1, 2021 and December 31, 2022. Rental revenue and real estate operating expenses from our Properties in Development or Redevelopment Portfolio decreased by approximately $3.3 million and $0.2 million, respectively, for the year ended December 31, 2022 compared to 2021, as detailed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Rental Revenue</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right"/>
              <w:ind w:right="477"/>
              <w:spacing w:after="0"/>
              <w:rPr>
                <w:sz w:val="20"/>
                <w:szCs w:val="20"/>
                <w:color w:val="auto"/>
              </w:rPr>
            </w:pPr>
            <w:r>
              <w:rPr>
                <w:rFonts w:ascii="Arial" w:cs="Arial" w:eastAsia="Arial" w:hAnsi="Arial"/>
                <w:sz w:val="12"/>
                <w:szCs w:val="12"/>
                <w:b w:val="1"/>
                <w:bCs w:val="1"/>
                <w:color w:val="auto"/>
              </w:rPr>
              <w:t>Real Estate Operating Expenses</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w w:val="98"/>
              </w:rPr>
              <w:t>Date Commenced</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2140" w:type="dxa"/>
            <w:vAlign w:val="bottom"/>
            <w:gridSpan w:val="2"/>
            <w:vMerge w:val="restart"/>
          </w:tcPr>
          <w:p>
            <w:pPr>
              <w:ind w:left="740"/>
              <w:spacing w:after="0"/>
              <w:rPr>
                <w:sz w:val="20"/>
                <w:szCs w:val="20"/>
                <w:color w:val="auto"/>
              </w:rPr>
            </w:pPr>
            <w:r>
              <w:rPr>
                <w:rFonts w:ascii="Arial" w:cs="Arial" w:eastAsia="Arial" w:hAnsi="Arial"/>
                <w:sz w:val="12"/>
                <w:szCs w:val="12"/>
                <w:b w:val="1"/>
                <w:bCs w:val="1"/>
                <w:color w:val="auto"/>
              </w:rPr>
              <w:t>Name</w:t>
            </w:r>
          </w:p>
        </w:tc>
        <w:tc>
          <w:tcPr>
            <w:tcW w:w="1820" w:type="dxa"/>
            <w:vAlign w:val="bottom"/>
            <w:gridSpan w:val="2"/>
          </w:tcPr>
          <w:p>
            <w:pPr>
              <w:jc w:val="center"/>
              <w:ind w:right="100"/>
              <w:spacing w:after="0" w:line="119" w:lineRule="exact"/>
              <w:rPr>
                <w:sz w:val="20"/>
                <w:szCs w:val="20"/>
                <w:color w:val="auto"/>
              </w:rPr>
            </w:pPr>
            <w:r>
              <w:rPr>
                <w:rFonts w:ascii="Arial" w:cs="Arial" w:eastAsia="Arial" w:hAnsi="Arial"/>
                <w:sz w:val="12"/>
                <w:szCs w:val="12"/>
                <w:b w:val="1"/>
                <w:bCs w:val="1"/>
                <w:color w:val="auto"/>
                <w:w w:val="97"/>
              </w:rPr>
              <w:t>Development /</w:t>
            </w:r>
          </w:p>
        </w:tc>
        <w:tc>
          <w:tcPr>
            <w:tcW w:w="10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Square Feet</w:t>
            </w:r>
          </w:p>
        </w:tc>
        <w:tc>
          <w:tcPr>
            <w:tcW w:w="200" w:type="dxa"/>
            <w:vAlign w:val="bottom"/>
          </w:tcPr>
          <w:p>
            <w:pPr>
              <w:spacing w:after="0"/>
              <w:rPr>
                <w:sz w:val="10"/>
                <w:szCs w:val="10"/>
                <w:color w:val="auto"/>
              </w:rPr>
            </w:pPr>
          </w:p>
        </w:tc>
        <w:tc>
          <w:tcPr>
            <w:tcW w:w="66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0"/>
                <w:szCs w:val="10"/>
                <w:color w:val="auto"/>
              </w:rPr>
            </w:pPr>
          </w:p>
        </w:tc>
        <w:tc>
          <w:tcPr>
            <w:tcW w:w="6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7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1"/>
        </w:trPr>
        <w:tc>
          <w:tcPr>
            <w:tcW w:w="24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Redevelopment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5"/>
          </w:tcPr>
          <w:p>
            <w:pPr>
              <w:ind w:left="220"/>
              <w:spacing w:after="0"/>
              <w:rPr>
                <w:sz w:val="20"/>
                <w:szCs w:val="20"/>
                <w:color w:val="auto"/>
              </w:rPr>
            </w:pPr>
            <w:r>
              <w:rPr>
                <w:rFonts w:ascii="Arial" w:cs="Arial" w:eastAsia="Arial" w:hAnsi="Arial"/>
                <w:sz w:val="12"/>
                <w:szCs w:val="12"/>
                <w:b w:val="1"/>
                <w:bCs w:val="1"/>
                <w:color w:val="auto"/>
              </w:rPr>
              <w:t>(dollars in thousands)</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3625-3635 Peterson Way (1)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April 16, 2021</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73"/>
        </w:trPr>
        <w:tc>
          <w:tcPr>
            <w:tcW w:w="240" w:type="dxa"/>
            <w:vAlign w:val="bottom"/>
          </w:tcPr>
          <w:p>
            <w:pPr>
              <w:ind w:left="20"/>
              <w:spacing w:after="0"/>
              <w:rPr>
                <w:sz w:val="20"/>
                <w:szCs w:val="20"/>
                <w:color w:val="auto"/>
              </w:rPr>
            </w:pPr>
            <w:r>
              <w:rPr>
                <w:rFonts w:ascii="Arial" w:cs="Arial" w:eastAsia="Arial" w:hAnsi="Arial"/>
                <w:sz w:val="13"/>
                <w:szCs w:val="13"/>
                <w:color w:val="auto"/>
                <w:w w:val="92"/>
              </w:rPr>
              <w:t>140</w:t>
            </w:r>
          </w:p>
        </w:tc>
        <w:tc>
          <w:tcPr>
            <w:tcW w:w="2140" w:type="dxa"/>
            <w:vAlign w:val="bottom"/>
            <w:gridSpan w:val="2"/>
          </w:tcPr>
          <w:p>
            <w:pPr>
              <w:ind w:left="20"/>
              <w:spacing w:after="0"/>
              <w:rPr>
                <w:sz w:val="20"/>
                <w:szCs w:val="20"/>
                <w:color w:val="auto"/>
              </w:rPr>
            </w:pPr>
            <w:r>
              <w:rPr>
                <w:rFonts w:ascii="Arial" w:cs="Arial" w:eastAsia="Arial" w:hAnsi="Arial"/>
                <w:sz w:val="13"/>
                <w:szCs w:val="13"/>
                <w:color w:val="auto"/>
              </w:rPr>
              <w:t>Kendrick Street - Building A</w:t>
            </w:r>
          </w:p>
        </w:tc>
        <w:tc>
          <w:tcPr>
            <w:tcW w:w="1820" w:type="dxa"/>
            <w:vAlign w:val="bottom"/>
            <w:gridSpan w:val="2"/>
          </w:tcPr>
          <w:p>
            <w:pPr>
              <w:ind w:left="20"/>
              <w:spacing w:after="0"/>
              <w:rPr>
                <w:sz w:val="20"/>
                <w:szCs w:val="20"/>
                <w:color w:val="auto"/>
              </w:rPr>
            </w:pPr>
            <w:r>
              <w:rPr>
                <w:rFonts w:ascii="Arial" w:cs="Arial" w:eastAsia="Arial" w:hAnsi="Arial"/>
                <w:sz w:val="13"/>
                <w:szCs w:val="13"/>
                <w:color w:val="auto"/>
              </w:rPr>
              <w:t>July 1, 2022</w:t>
            </w:r>
          </w:p>
        </w:tc>
        <w:tc>
          <w:tcPr>
            <w:tcW w:w="980" w:type="dxa"/>
            <w:vAlign w:val="bottom"/>
          </w:tcPr>
          <w:p>
            <w:pPr>
              <w:jc w:val="right"/>
              <w:spacing w:after="0"/>
              <w:rPr>
                <w:sz w:val="20"/>
                <w:szCs w:val="20"/>
                <w:color w:val="auto"/>
              </w:rPr>
            </w:pPr>
            <w:r>
              <w:rPr>
                <w:rFonts w:ascii="Arial" w:cs="Arial" w:eastAsia="Arial" w:hAnsi="Arial"/>
                <w:sz w:val="13"/>
                <w:szCs w:val="13"/>
                <w:color w:val="auto"/>
              </w:rPr>
              <w:t>104,000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760</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Boylston Street</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September 12, 2022</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73"/>
        </w:trPr>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2"/>
              </w:rPr>
              <w:t>105</w:t>
            </w:r>
          </w:p>
        </w:tc>
        <w:tc>
          <w:tcPr>
            <w:tcW w:w="2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Carnegie Center</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November 30,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480" w:hanging="292"/>
        <w:spacing w:after="0" w:line="261" w:lineRule="auto"/>
        <w:tabs>
          <w:tab w:leader="none" w:pos="4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 April 16, 2021, we removed 3625-3635 Peterson Way, located in Santa Clara, California, from our in-service portfolio. We demolished the building and expect to redevelop the site at a future date.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Properties Sold Portfolio</w:t>
      </w:r>
    </w:p>
    <w:p>
      <w:pPr>
        <w:spacing w:after="0" w:line="95"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The table below lists the properties we sold between January 1, 2021 and December 31, 2022. Rental revenue and real estate operating expenses from our Properties Sold Portfolio decreased by approximately $37.2 million and $11.6 million, respectively, for the year ended December 31, 2022 compared to 2021, as detailed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Rental Revenue</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right"/>
              <w:ind w:right="397"/>
              <w:spacing w:after="0"/>
              <w:rPr>
                <w:sz w:val="20"/>
                <w:szCs w:val="20"/>
                <w:color w:val="auto"/>
              </w:rPr>
            </w:pPr>
            <w:r>
              <w:rPr>
                <w:rFonts w:ascii="Arial" w:cs="Arial" w:eastAsia="Arial" w:hAnsi="Arial"/>
                <w:sz w:val="12"/>
                <w:szCs w:val="12"/>
                <w:b w:val="1"/>
                <w:bCs w:val="1"/>
                <w:color w:val="auto"/>
              </w:rPr>
              <w:t>Real Estate Operating Expenses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Name</w:t>
            </w:r>
          </w:p>
        </w:tc>
        <w:tc>
          <w:tcPr>
            <w:tcW w:w="1640" w:type="dxa"/>
            <w:vAlign w:val="bottom"/>
            <w:gridSpan w:val="2"/>
          </w:tcPr>
          <w:p>
            <w:pPr>
              <w:ind w:left="480"/>
              <w:spacing w:after="0"/>
              <w:rPr>
                <w:sz w:val="20"/>
                <w:szCs w:val="20"/>
                <w:color w:val="auto"/>
              </w:rPr>
            </w:pPr>
            <w:r>
              <w:rPr>
                <w:rFonts w:ascii="Arial" w:cs="Arial" w:eastAsia="Arial" w:hAnsi="Arial"/>
                <w:sz w:val="12"/>
                <w:szCs w:val="12"/>
                <w:b w:val="1"/>
                <w:bCs w:val="1"/>
                <w:color w:val="auto"/>
              </w:rPr>
              <w:t>Date Sold</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Property Type</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Square Feet</w:t>
            </w: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8"/>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58"/>
        </w:trPr>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Office</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1880" w:type="dxa"/>
            <w:vAlign w:val="bottom"/>
            <w:gridSpan w:val="5"/>
          </w:tcPr>
          <w:p>
            <w:pPr>
              <w:ind w:left="20"/>
              <w:spacing w:after="0" w:line="147" w:lineRule="exact"/>
              <w:rPr>
                <w:sz w:val="20"/>
                <w:szCs w:val="20"/>
                <w:color w:val="auto"/>
              </w:rPr>
            </w:pPr>
            <w:r>
              <w:rPr>
                <w:rFonts w:ascii="Arial" w:cs="Arial" w:eastAsia="Arial" w:hAnsi="Arial"/>
                <w:sz w:val="13"/>
                <w:szCs w:val="13"/>
                <w:color w:val="auto"/>
              </w:rPr>
              <w:t>181, 191 and 201 Spring</w:t>
            </w:r>
          </w:p>
        </w:tc>
        <w:tc>
          <w:tcPr>
            <w:tcW w:w="1640" w:type="dxa"/>
            <w:vAlign w:val="bottom"/>
            <w:gridSpan w:val="2"/>
            <w:vMerge w:val="restart"/>
          </w:tcPr>
          <w:p>
            <w:pPr>
              <w:ind w:left="20"/>
              <w:spacing w:after="0"/>
              <w:rPr>
                <w:sz w:val="20"/>
                <w:szCs w:val="20"/>
                <w:color w:val="auto"/>
              </w:rPr>
            </w:pPr>
            <w:r>
              <w:rPr>
                <w:rFonts w:ascii="Arial" w:cs="Arial" w:eastAsia="Arial" w:hAnsi="Arial"/>
                <w:sz w:val="13"/>
                <w:szCs w:val="13"/>
                <w:color w:val="auto"/>
              </w:rPr>
              <w:t>October 25, 2021</w:t>
            </w: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Office</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333,000</w:t>
            </w:r>
          </w:p>
        </w:tc>
        <w:tc>
          <w:tcPr>
            <w:tcW w:w="120" w:type="dxa"/>
            <w:vAlign w:val="bottom"/>
          </w:tcPr>
          <w:p>
            <w:pPr>
              <w:spacing w:after="0"/>
              <w:rPr>
                <w:sz w:val="12"/>
                <w:szCs w:val="12"/>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12,649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(12,649)</w:t>
            </w:r>
          </w:p>
        </w:tc>
        <w:tc>
          <w:tcPr>
            <w:tcW w:w="120" w:type="dxa"/>
            <w:vAlign w:val="bottom"/>
          </w:tcPr>
          <w:p>
            <w:pPr>
              <w:spacing w:after="0"/>
              <w:rPr>
                <w:sz w:val="12"/>
                <w:szCs w:val="12"/>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3,999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(3,999)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4"/>
          </w:tcPr>
          <w:p>
            <w:pPr>
              <w:ind w:left="140"/>
              <w:spacing w:after="0"/>
              <w:rPr>
                <w:sz w:val="20"/>
                <w:szCs w:val="20"/>
                <w:color w:val="auto"/>
              </w:rPr>
            </w:pPr>
            <w:r>
              <w:rPr>
                <w:rFonts w:ascii="Arial" w:cs="Arial" w:eastAsia="Arial" w:hAnsi="Arial"/>
                <w:sz w:val="13"/>
                <w:szCs w:val="13"/>
                <w:color w:val="auto"/>
              </w:rPr>
              <w:t>Street</w:t>
            </w:r>
          </w:p>
        </w:tc>
        <w:tc>
          <w:tcPr>
            <w:tcW w:w="16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195 West Street</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March 31, 2022</w:t>
            </w:r>
          </w:p>
        </w:tc>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73"/>
        </w:trPr>
        <w:tc>
          <w:tcPr>
            <w:tcW w:w="1880" w:type="dxa"/>
            <w:vAlign w:val="bottom"/>
            <w:gridSpan w:val="5"/>
          </w:tcPr>
          <w:p>
            <w:pPr>
              <w:ind w:left="20"/>
              <w:spacing w:after="0"/>
              <w:rPr>
                <w:sz w:val="20"/>
                <w:szCs w:val="20"/>
                <w:color w:val="auto"/>
              </w:rPr>
            </w:pPr>
            <w:r>
              <w:rPr>
                <w:rFonts w:ascii="Arial" w:cs="Arial" w:eastAsia="Arial" w:hAnsi="Arial"/>
                <w:sz w:val="13"/>
                <w:szCs w:val="13"/>
                <w:color w:val="auto"/>
              </w:rPr>
              <w:t>Virginia 95 Office Park</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June 15, 2022</w:t>
            </w:r>
          </w:p>
        </w:tc>
        <w:tc>
          <w:tcPr>
            <w:tcW w:w="1060" w:type="dxa"/>
            <w:vAlign w:val="bottom"/>
            <w:gridSpan w:val="2"/>
          </w:tcPr>
          <w:p>
            <w:pPr>
              <w:spacing w:after="0"/>
              <w:rPr>
                <w:sz w:val="20"/>
                <w:szCs w:val="20"/>
                <w:color w:val="auto"/>
              </w:rPr>
            </w:pPr>
            <w:r>
              <w:rPr>
                <w:rFonts w:ascii="Arial" w:cs="Arial" w:eastAsia="Arial" w:hAnsi="Arial"/>
                <w:sz w:val="13"/>
                <w:szCs w:val="13"/>
                <w:color w:val="auto"/>
              </w:rPr>
              <w:t>Office/Flex</w:t>
            </w:r>
          </w:p>
        </w:tc>
        <w:tc>
          <w:tcPr>
            <w:tcW w:w="960" w:type="dxa"/>
            <w:vAlign w:val="bottom"/>
          </w:tcPr>
          <w:p>
            <w:pPr>
              <w:jc w:val="right"/>
              <w:spacing w:after="0"/>
              <w:rPr>
                <w:sz w:val="20"/>
                <w:szCs w:val="20"/>
                <w:color w:val="auto"/>
              </w:rPr>
            </w:pPr>
            <w:r>
              <w:rPr>
                <w:rFonts w:ascii="Arial" w:cs="Arial" w:eastAsia="Arial" w:hAnsi="Arial"/>
                <w:sz w:val="13"/>
                <w:szCs w:val="13"/>
                <w:color w:val="auto"/>
              </w:rPr>
              <w:t>733,421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13,774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(2,116)</w:t>
            </w:r>
          </w:p>
        </w:tc>
        <w:tc>
          <w:tcPr>
            <w:tcW w:w="0" w:type="dxa"/>
            <w:vAlign w:val="bottom"/>
          </w:tcPr>
          <w:p>
            <w:pPr>
              <w:spacing w:after="0"/>
              <w:rPr>
                <w:sz w:val="1"/>
                <w:szCs w:val="1"/>
                <w:color w:val="auto"/>
              </w:rPr>
            </w:pPr>
          </w:p>
        </w:tc>
      </w:tr>
      <w:tr>
        <w:trPr>
          <w:trHeight w:val="178"/>
        </w:trPr>
        <w:tc>
          <w:tcPr>
            <w:tcW w:w="18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601 Massachusetts Avenue</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August 30, 2022</w:t>
            </w:r>
          </w:p>
        </w:tc>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w:t>
            </w: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478,667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28,225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42,753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(14,528)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0" w:type="dxa"/>
            <w:vAlign w:val="bottom"/>
          </w:tcPr>
          <w:p>
            <w:pPr>
              <w:spacing w:after="0"/>
              <w:rPr>
                <w:sz w:val="1"/>
                <w:szCs w:val="1"/>
                <w:color w:val="auto"/>
              </w:rPr>
            </w:pPr>
          </w:p>
        </w:tc>
      </w:tr>
      <w:tr>
        <w:trPr>
          <w:trHeight w:val="170"/>
        </w:trPr>
        <w:tc>
          <w:tcPr>
            <w:tcW w:w="1880" w:type="dxa"/>
            <w:vAlign w:val="bottom"/>
            <w:tcBorders>
              <w:bottom w:val="single" w:sz="8" w:color="CCEEFF"/>
            </w:tcBorders>
            <w:gridSpan w:val="5"/>
          </w:tcPr>
          <w:p>
            <w:pPr>
              <w:ind w:left="20"/>
              <w:spacing w:after="0"/>
              <w:rPr>
                <w:sz w:val="20"/>
                <w:szCs w:val="20"/>
                <w:color w:val="auto"/>
              </w:rPr>
            </w:pPr>
            <w:r>
              <w:rPr>
                <w:rFonts w:ascii="Arial" w:cs="Arial" w:eastAsia="Arial" w:hAnsi="Arial"/>
                <w:sz w:val="13"/>
                <w:szCs w:val="13"/>
                <w:color w:val="auto"/>
              </w:rPr>
              <w:t>Total Office</w:t>
            </w: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1,608,588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34,164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70,754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(36,590)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21,674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(11,146)</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80" w:type="dxa"/>
            <w:vAlign w:val="bottom"/>
            <w:gridSpan w:val="5"/>
          </w:tcPr>
          <w:p>
            <w:pPr>
              <w:ind w:left="20"/>
              <w:spacing w:after="0" w:line="143" w:lineRule="exact"/>
              <w:rPr>
                <w:sz w:val="20"/>
                <w:szCs w:val="20"/>
                <w:color w:val="auto"/>
              </w:rPr>
            </w:pPr>
            <w:r>
              <w:rPr>
                <w:rFonts w:ascii="Arial" w:cs="Arial" w:eastAsia="Arial" w:hAnsi="Arial"/>
                <w:sz w:val="13"/>
                <w:szCs w:val="13"/>
                <w:color w:val="auto"/>
              </w:rPr>
              <w:t>Residential</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8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The Avant at Reston Town</w:t>
            </w:r>
          </w:p>
        </w:tc>
        <w:tc>
          <w:tcPr>
            <w:tcW w:w="16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November 8, 2022</w:t>
            </w:r>
          </w:p>
        </w:tc>
        <w:tc>
          <w:tcPr>
            <w:tcW w:w="10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Residential</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329,195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10,682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1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Center (1)</w:t>
            </w:r>
          </w:p>
        </w:tc>
        <w:tc>
          <w:tcPr>
            <w:tcW w:w="16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80" w:type="dxa"/>
            <w:vAlign w:val="bottom"/>
            <w:tcBorders>
              <w:bottom w:val="single" w:sz="8" w:color="CCEEFF"/>
            </w:tcBorders>
            <w:gridSpan w:val="5"/>
          </w:tcPr>
          <w:p>
            <w:pPr>
              <w:ind w:left="20"/>
              <w:spacing w:after="0"/>
              <w:rPr>
                <w:sz w:val="20"/>
                <w:szCs w:val="20"/>
                <w:color w:val="auto"/>
              </w:rPr>
            </w:pPr>
            <w:r>
              <w:rPr>
                <w:rFonts w:ascii="Arial" w:cs="Arial" w:eastAsia="Arial" w:hAnsi="Arial"/>
                <w:sz w:val="13"/>
                <w:szCs w:val="13"/>
                <w:color w:val="auto"/>
              </w:rPr>
              <w:t>Total Residential</w:t>
            </w: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329,195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10,682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1,937,783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220" w:hanging="292"/>
        <w:spacing w:after="0" w:line="261"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retained and continue to own approximately 26,000 square feet of ground-level retail space. Rental Revenue and Real Estate Operating Expenses shown represent the entire property and not just the portion sold.</w:t>
      </w:r>
    </w:p>
    <w:p>
      <w:pPr>
        <w:spacing w:after="0" w:line="188" w:lineRule="exact"/>
        <w:rPr>
          <w:sz w:val="20"/>
          <w:szCs w:val="20"/>
          <w:color w:val="auto"/>
        </w:rPr>
      </w:pPr>
    </w:p>
    <w:p>
      <w:pPr>
        <w:ind w:right="100" w:firstLine="391"/>
        <w:spacing w:after="0" w:line="274" w:lineRule="auto"/>
        <w:rPr>
          <w:sz w:val="20"/>
          <w:szCs w:val="20"/>
          <w:color w:val="auto"/>
        </w:rPr>
      </w:pPr>
      <w:r>
        <w:rPr>
          <w:rFonts w:ascii="Arial" w:cs="Arial" w:eastAsia="Arial" w:hAnsi="Arial"/>
          <w:sz w:val="16"/>
          <w:szCs w:val="16"/>
          <w:color w:val="auto"/>
        </w:rPr>
        <w:t xml:space="preserve">For additional information on the sales of the above properties refer to </w:t>
      </w:r>
      <w:r>
        <w:rPr>
          <w:rFonts w:ascii="Arial" w:cs="Arial" w:eastAsia="Arial" w:hAnsi="Arial"/>
          <w:sz w:val="16"/>
          <w:szCs w:val="16"/>
          <w:i w:val="1"/>
          <w:iCs w:val="1"/>
          <w:color w:val="auto"/>
        </w:rPr>
        <w:t>“Results of Operations—Other Income and Expense Items—Gains on Sales of Real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Estate” </w:t>
      </w:r>
      <w:r>
        <w:rPr>
          <w:rFonts w:ascii="Arial" w:cs="Arial" w:eastAsia="Arial" w:hAnsi="Arial"/>
          <w:sz w:val="16"/>
          <w:szCs w:val="16"/>
          <w:color w:val="auto"/>
        </w:rPr>
        <w:t>within</w:t>
      </w:r>
      <w:r>
        <w:rPr>
          <w:rFonts w:ascii="Arial" w:cs="Arial" w:eastAsia="Arial" w:hAnsi="Arial"/>
          <w:sz w:val="16"/>
          <w:szCs w:val="16"/>
          <w:i w:val="1"/>
          <w:iCs w:val="1"/>
          <w:color w:val="auto"/>
        </w:rPr>
        <w:t xml:space="preserve"> “Item 7—Management’s Discussion and Analysis of Financial Condition and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Residential Net Operating Income</w:t>
      </w:r>
    </w:p>
    <w:p>
      <w:pPr>
        <w:spacing w:after="0" w:line="107" w:lineRule="exact"/>
        <w:rPr>
          <w:sz w:val="20"/>
          <w:szCs w:val="20"/>
          <w:color w:val="auto"/>
        </w:rPr>
      </w:pPr>
    </w:p>
    <w:p>
      <w:pPr>
        <w:ind w:right="240" w:firstLine="391"/>
        <w:spacing w:after="0" w:line="250" w:lineRule="auto"/>
        <w:rPr>
          <w:sz w:val="20"/>
          <w:szCs w:val="20"/>
          <w:color w:val="auto"/>
        </w:rPr>
      </w:pPr>
      <w:r>
        <w:rPr>
          <w:rFonts w:ascii="Arial" w:cs="Arial" w:eastAsia="Arial" w:hAnsi="Arial"/>
          <w:sz w:val="16"/>
          <w:szCs w:val="16"/>
          <w:color w:val="auto"/>
        </w:rPr>
        <w:t>Net operating income for our residential same properties increased by approximately $9.6 million for the years ended December 31, 2022 compared to 2021. The increase in net operating income was primarily due to the initial lease-up of the Skylyne, which was fully placed in-service during the third quarter of 2020.</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reflects our occupancy and rate information for our residential same properties for the year ended December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Average Monthly Rental Rate (1)</w:t>
            </w:r>
          </w:p>
        </w:tc>
        <w:tc>
          <w:tcPr>
            <w:tcW w:w="80" w:type="dxa"/>
            <w:vAlign w:val="bottom"/>
          </w:tcPr>
          <w:p>
            <w:pPr>
              <w:spacing w:after="0"/>
              <w:rPr>
                <w:sz w:val="12"/>
                <w:szCs w:val="12"/>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8"/>
              </w:rPr>
              <w:t>Average Rental Rate Per Occupied</w:t>
            </w:r>
          </w:p>
        </w:tc>
        <w:tc>
          <w:tcPr>
            <w:tcW w:w="2480" w:type="dxa"/>
            <w:vAlign w:val="bottom"/>
            <w:gridSpan w:val="4"/>
            <w:vMerge w:val="restart"/>
          </w:tcPr>
          <w:p>
            <w:pPr>
              <w:ind w:left="260"/>
              <w:spacing w:after="0"/>
              <w:rPr>
                <w:sz w:val="20"/>
                <w:szCs w:val="20"/>
                <w:color w:val="auto"/>
              </w:rPr>
            </w:pPr>
            <w:r>
              <w:rPr>
                <w:rFonts w:ascii="Arial" w:cs="Arial" w:eastAsia="Arial" w:hAnsi="Arial"/>
                <w:sz w:val="12"/>
                <w:szCs w:val="12"/>
                <w:b w:val="1"/>
                <w:bCs w:val="1"/>
                <w:color w:val="auto"/>
              </w:rPr>
              <w:t>Average Physical Occupancy (2)</w:t>
            </w:r>
          </w:p>
        </w:tc>
        <w:tc>
          <w:tcPr>
            <w:tcW w:w="2360" w:type="dxa"/>
            <w:vAlign w:val="bottom"/>
            <w:gridSpan w:val="3"/>
            <w:vMerge w:val="restart"/>
          </w:tcPr>
          <w:p>
            <w:pPr>
              <w:jc w:val="right"/>
              <w:ind w:right="158"/>
              <w:spacing w:after="0"/>
              <w:rPr>
                <w:sz w:val="20"/>
                <w:szCs w:val="20"/>
                <w:color w:val="auto"/>
              </w:rPr>
            </w:pPr>
            <w:r>
              <w:rPr>
                <w:rFonts w:ascii="Arial" w:cs="Arial" w:eastAsia="Arial" w:hAnsi="Arial"/>
                <w:sz w:val="12"/>
                <w:szCs w:val="12"/>
                <w:b w:val="1"/>
                <w:bCs w:val="1"/>
                <w:color w:val="auto"/>
              </w:rPr>
              <w:t>Average Economic Occupancy (3)</w:t>
            </w: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gridSpan w:val="4"/>
          </w:tcPr>
          <w:p>
            <w:pPr>
              <w:jc w:val="center"/>
              <w:ind w:right="780"/>
              <w:spacing w:after="0"/>
              <w:rPr>
                <w:sz w:val="20"/>
                <w:szCs w:val="20"/>
                <w:color w:val="auto"/>
              </w:rPr>
            </w:pPr>
            <w:r>
              <w:rPr>
                <w:rFonts w:ascii="Arial" w:cs="Arial" w:eastAsia="Arial" w:hAnsi="Arial"/>
                <w:sz w:val="12"/>
                <w:szCs w:val="12"/>
                <w:b w:val="1"/>
                <w:bCs w:val="1"/>
                <w:color w:val="auto"/>
                <w:w w:val="97"/>
              </w:rPr>
              <w:t>Square Foot</w:t>
            </w:r>
          </w:p>
        </w:tc>
        <w:tc>
          <w:tcPr>
            <w:tcW w:w="2480" w:type="dxa"/>
            <w:vAlign w:val="bottom"/>
            <w:gridSpan w:val="4"/>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Change (%)</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Change (%)</w:t>
            </w:r>
          </w:p>
        </w:tc>
        <w:tc>
          <w:tcPr>
            <w:tcW w:w="1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2022</w:t>
            </w:r>
          </w:p>
        </w:tc>
        <w:tc>
          <w:tcPr>
            <w:tcW w:w="6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2021</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Change (%)</w:t>
            </w:r>
          </w:p>
        </w:tc>
        <w:tc>
          <w:tcPr>
            <w:tcW w:w="1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2021</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Change (%)</w:t>
            </w: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Proto Kendall Square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2,615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4.80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94.9 %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93.0 %</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94.2 %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92.0 %</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rPr>
                <w:sz w:val="20"/>
                <w:szCs w:val="20"/>
                <w:color w:val="auto"/>
              </w:rPr>
            </w:pPr>
            <w:r>
              <w:rPr>
                <w:rFonts w:ascii="Arial" w:cs="Arial" w:eastAsia="Arial" w:hAnsi="Arial"/>
                <w:sz w:val="13"/>
                <w:szCs w:val="13"/>
                <w:color w:val="auto"/>
              </w:rPr>
              <w:t>The Lofts at Atlantic Wharf</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4,162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3,558</w:t>
            </w:r>
          </w:p>
        </w:tc>
        <w:tc>
          <w:tcPr>
            <w:tcW w:w="800" w:type="dxa"/>
            <w:vAlign w:val="bottom"/>
          </w:tcPr>
          <w:p>
            <w:pPr>
              <w:jc w:val="right"/>
              <w:spacing w:after="0"/>
              <w:rPr>
                <w:sz w:val="20"/>
                <w:szCs w:val="20"/>
                <w:color w:val="auto"/>
              </w:rPr>
            </w:pPr>
            <w:r>
              <w:rPr>
                <w:rFonts w:ascii="Arial" w:cs="Arial" w:eastAsia="Arial" w:hAnsi="Arial"/>
                <w:sz w:val="13"/>
                <w:szCs w:val="13"/>
                <w:color w:val="auto"/>
              </w:rPr>
              <w:t>17.0 %</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3.99</w:t>
            </w:r>
          </w:p>
        </w:tc>
        <w:tc>
          <w:tcPr>
            <w:tcW w:w="820" w:type="dxa"/>
            <w:vAlign w:val="bottom"/>
          </w:tcPr>
          <w:p>
            <w:pPr>
              <w:jc w:val="right"/>
              <w:spacing w:after="0"/>
              <w:rPr>
                <w:sz w:val="20"/>
                <w:szCs w:val="20"/>
                <w:color w:val="auto"/>
              </w:rPr>
            </w:pPr>
            <w:r>
              <w:rPr>
                <w:rFonts w:ascii="Arial" w:cs="Arial" w:eastAsia="Arial" w:hAnsi="Arial"/>
                <w:sz w:val="13"/>
                <w:szCs w:val="13"/>
                <w:color w:val="auto"/>
              </w:rPr>
              <w:t>15.8 %</w:t>
            </w:r>
          </w:p>
        </w:tc>
        <w:tc>
          <w:tcPr>
            <w:tcW w:w="14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97.8 %</w:t>
            </w:r>
          </w:p>
        </w:tc>
        <w:tc>
          <w:tcPr>
            <w:tcW w:w="660" w:type="dxa"/>
            <w:vAlign w:val="bottom"/>
          </w:tcPr>
          <w:p>
            <w:pPr>
              <w:jc w:val="right"/>
              <w:spacing w:after="0"/>
              <w:rPr>
                <w:sz w:val="20"/>
                <w:szCs w:val="20"/>
                <w:color w:val="auto"/>
              </w:rPr>
            </w:pPr>
            <w:r>
              <w:rPr>
                <w:rFonts w:ascii="Arial" w:cs="Arial" w:eastAsia="Arial" w:hAnsi="Arial"/>
                <w:sz w:val="13"/>
                <w:szCs w:val="13"/>
                <w:color w:val="auto"/>
              </w:rPr>
              <w:t>94.2 %</w:t>
            </w:r>
          </w:p>
        </w:tc>
        <w:tc>
          <w:tcPr>
            <w:tcW w:w="800" w:type="dxa"/>
            <w:vAlign w:val="bottom"/>
          </w:tcPr>
          <w:p>
            <w:pPr>
              <w:jc w:val="right"/>
              <w:spacing w:after="0"/>
              <w:rPr>
                <w:sz w:val="20"/>
                <w:szCs w:val="20"/>
                <w:color w:val="auto"/>
              </w:rPr>
            </w:pPr>
            <w:r>
              <w:rPr>
                <w:rFonts w:ascii="Arial" w:cs="Arial" w:eastAsia="Arial" w:hAnsi="Arial"/>
                <w:sz w:val="13"/>
                <w:szCs w:val="13"/>
                <w:color w:val="auto"/>
              </w:rPr>
              <w:t>3.8 %</w:t>
            </w:r>
          </w:p>
        </w:tc>
        <w:tc>
          <w:tcPr>
            <w:tcW w:w="14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97.4 %</w:t>
            </w:r>
          </w:p>
        </w:tc>
        <w:tc>
          <w:tcPr>
            <w:tcW w:w="680" w:type="dxa"/>
            <w:vAlign w:val="bottom"/>
          </w:tcPr>
          <w:p>
            <w:pPr>
              <w:jc w:val="right"/>
              <w:spacing w:after="0"/>
              <w:rPr>
                <w:sz w:val="20"/>
                <w:szCs w:val="20"/>
                <w:color w:val="auto"/>
              </w:rPr>
            </w:pPr>
            <w:r>
              <w:rPr>
                <w:rFonts w:ascii="Arial" w:cs="Arial" w:eastAsia="Arial" w:hAnsi="Arial"/>
                <w:sz w:val="13"/>
                <w:szCs w:val="13"/>
                <w:color w:val="auto"/>
              </w:rPr>
              <w:t>92.2 %</w:t>
            </w:r>
          </w:p>
        </w:tc>
        <w:tc>
          <w:tcPr>
            <w:tcW w:w="800" w:type="dxa"/>
            <w:vAlign w:val="bottom"/>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82"/>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Signature at Reston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2,358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2.44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94.9 %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88.6 %</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94.5 %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86.0 %</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68"/>
        </w:trPr>
        <w:tc>
          <w:tcPr>
            <w:tcW w:w="1840" w:type="dxa"/>
            <w:vAlign w:val="bottom"/>
            <w:gridSpan w:val="2"/>
          </w:tcPr>
          <w:p>
            <w:pPr>
              <w:ind w:left="20"/>
              <w:spacing w:after="0"/>
              <w:rPr>
                <w:sz w:val="20"/>
                <w:szCs w:val="20"/>
                <w:color w:val="auto"/>
              </w:rPr>
            </w:pPr>
            <w:r>
              <w:rPr>
                <w:rFonts w:ascii="Arial" w:cs="Arial" w:eastAsia="Arial" w:hAnsi="Arial"/>
                <w:sz w:val="13"/>
                <w:szCs w:val="13"/>
                <w:color w:val="auto"/>
              </w:rPr>
              <w:t>The Skylyne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3,207</w:t>
            </w:r>
          </w:p>
        </w:tc>
        <w:tc>
          <w:tcPr>
            <w:tcW w:w="800" w:type="dxa"/>
            <w:vAlign w:val="bottom"/>
          </w:tcPr>
          <w:p>
            <w:pPr>
              <w:jc w:val="right"/>
              <w:spacing w:after="0"/>
              <w:rPr>
                <w:sz w:val="20"/>
                <w:szCs w:val="20"/>
                <w:color w:val="auto"/>
              </w:rPr>
            </w:pPr>
            <w:r>
              <w:rPr>
                <w:rFonts w:ascii="Arial" w:cs="Arial" w:eastAsia="Arial" w:hAnsi="Arial"/>
                <w:sz w:val="13"/>
                <w:szCs w:val="13"/>
                <w:color w:val="auto"/>
              </w:rPr>
              <w:t>5.7 %</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3.83</w:t>
            </w:r>
          </w:p>
        </w:tc>
        <w:tc>
          <w:tcPr>
            <w:tcW w:w="820" w:type="dxa"/>
            <w:vAlign w:val="bottom"/>
          </w:tcPr>
          <w:p>
            <w:pPr>
              <w:jc w:val="right"/>
              <w:spacing w:after="0"/>
              <w:rPr>
                <w:sz w:val="20"/>
                <w:szCs w:val="20"/>
                <w:color w:val="auto"/>
              </w:rPr>
            </w:pPr>
            <w:r>
              <w:rPr>
                <w:rFonts w:ascii="Arial" w:cs="Arial" w:eastAsia="Arial" w:hAnsi="Arial"/>
                <w:sz w:val="13"/>
                <w:szCs w:val="13"/>
                <w:color w:val="auto"/>
              </w:rPr>
              <w:t>9.7 %</w:t>
            </w:r>
          </w:p>
        </w:tc>
        <w:tc>
          <w:tcPr>
            <w:tcW w:w="14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84.8 %</w:t>
            </w:r>
          </w:p>
        </w:tc>
        <w:tc>
          <w:tcPr>
            <w:tcW w:w="660" w:type="dxa"/>
            <w:vAlign w:val="bottom"/>
          </w:tcPr>
          <w:p>
            <w:pPr>
              <w:jc w:val="right"/>
              <w:spacing w:after="0"/>
              <w:rPr>
                <w:sz w:val="20"/>
                <w:szCs w:val="20"/>
                <w:color w:val="auto"/>
              </w:rPr>
            </w:pPr>
            <w:r>
              <w:rPr>
                <w:rFonts w:ascii="Arial" w:cs="Arial" w:eastAsia="Arial" w:hAnsi="Arial"/>
                <w:sz w:val="13"/>
                <w:szCs w:val="13"/>
                <w:color w:val="auto"/>
              </w:rPr>
              <w:t>37.8 %</w:t>
            </w:r>
          </w:p>
        </w:tc>
        <w:tc>
          <w:tcPr>
            <w:tcW w:w="800" w:type="dxa"/>
            <w:vAlign w:val="bottom"/>
          </w:tcPr>
          <w:p>
            <w:pPr>
              <w:jc w:val="right"/>
              <w:spacing w:after="0"/>
              <w:rPr>
                <w:sz w:val="20"/>
                <w:szCs w:val="20"/>
                <w:color w:val="auto"/>
              </w:rPr>
            </w:pPr>
            <w:r>
              <w:rPr>
                <w:rFonts w:ascii="Arial" w:cs="Arial" w:eastAsia="Arial" w:hAnsi="Arial"/>
                <w:sz w:val="13"/>
                <w:szCs w:val="13"/>
                <w:color w:val="auto"/>
              </w:rPr>
              <w:t>124.3 %</w:t>
            </w:r>
          </w:p>
        </w:tc>
        <w:tc>
          <w:tcPr>
            <w:tcW w:w="14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82.3 %</w:t>
            </w:r>
          </w:p>
        </w:tc>
        <w:tc>
          <w:tcPr>
            <w:tcW w:w="680" w:type="dxa"/>
            <w:vAlign w:val="bottom"/>
          </w:tcPr>
          <w:p>
            <w:pPr>
              <w:jc w:val="right"/>
              <w:spacing w:after="0"/>
              <w:rPr>
                <w:sz w:val="20"/>
                <w:szCs w:val="20"/>
                <w:color w:val="auto"/>
              </w:rPr>
            </w:pPr>
            <w:r>
              <w:rPr>
                <w:rFonts w:ascii="Arial" w:cs="Arial" w:eastAsia="Arial" w:hAnsi="Arial"/>
                <w:sz w:val="13"/>
                <w:szCs w:val="13"/>
                <w:color w:val="auto"/>
              </w:rPr>
              <w:t>31.6 %</w:t>
            </w:r>
          </w:p>
        </w:tc>
        <w:tc>
          <w:tcPr>
            <w:tcW w:w="800" w:type="dxa"/>
            <w:vAlign w:val="bottom"/>
          </w:tcPr>
          <w:p>
            <w:pPr>
              <w:jc w:val="right"/>
              <w:spacing w:after="0"/>
              <w:rPr>
                <w:sz w:val="20"/>
                <w:szCs w:val="20"/>
                <w:color w:val="auto"/>
              </w:rPr>
            </w:pPr>
            <w:r>
              <w:rPr>
                <w:rFonts w:ascii="Arial" w:cs="Arial" w:eastAsia="Arial" w:hAnsi="Arial"/>
                <w:sz w:val="13"/>
                <w:szCs w:val="13"/>
                <w:color w:val="auto"/>
              </w:rPr>
              <w:t>160.4 %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360" w:hanging="292"/>
        <w:spacing w:after="0" w:line="256"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480" w:hanging="272"/>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Average Physical Occupancy is defined as (1) the average number of occupied units divided by (2) the total number of units, expressed as a percentage.</w:t>
      </w:r>
    </w:p>
    <w:p>
      <w:pPr>
        <w:spacing w:after="0" w:line="16" w:lineRule="exact"/>
        <w:rPr>
          <w:rFonts w:ascii="Arial" w:cs="Arial" w:eastAsia="Arial" w:hAnsi="Arial"/>
          <w:sz w:val="14"/>
          <w:szCs w:val="14"/>
          <w:color w:val="auto"/>
        </w:rPr>
      </w:pPr>
    </w:p>
    <w:p>
      <w:pPr>
        <w:ind w:left="500" w:right="20" w:hanging="292"/>
        <w:spacing w:after="0" w:line="254"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500"/>
        <w:spacing w:after="0" w:line="259" w:lineRule="auto"/>
        <w:rPr>
          <w:sz w:val="20"/>
          <w:szCs w:val="20"/>
          <w:color w:val="auto"/>
        </w:rPr>
      </w:pPr>
      <w:r>
        <w:rPr>
          <w:rFonts w:ascii="Arial" w:cs="Arial" w:eastAsia="Arial" w:hAnsi="Arial"/>
          <w:sz w:val="14"/>
          <w:szCs w:val="14"/>
          <w:color w:val="auto"/>
        </w:rPr>
        <w:t>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Hotel Net Operating Income</w:t>
      </w:r>
    </w:p>
    <w:p>
      <w:pPr>
        <w:spacing w:after="0" w:line="95"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The Boston Marriott Cambridge hotel had net operating income of approximately $12.0 million for the year ended December 31, 2022, representing an increase of approximately $11.4 million compared to the year ended December 31, 2021. As demand for travel has returned, the Boston Marriott Cambridge has seen an increase in occupancy and room rates, which has led to increased net operating income.</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reflects our occupancy and rate information for the Boston Marriott Cambridge hotel for the year ended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Change (%)</w:t>
            </w:r>
          </w:p>
        </w:tc>
      </w:tr>
      <w:tr>
        <w:trPr>
          <w:trHeight w:val="19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92.8 %</w:t>
            </w:r>
          </w:p>
        </w:tc>
      </w:tr>
      <w:tr>
        <w:trPr>
          <w:trHeight w:val="201"/>
        </w:trPr>
        <w:tc>
          <w:tcPr>
            <w:tcW w:w="6100" w:type="dxa"/>
            <w:vAlign w:val="bottom"/>
          </w:tcPr>
          <w:p>
            <w:pPr>
              <w:ind w:left="20"/>
              <w:spacing w:after="0"/>
              <w:rPr>
                <w:sz w:val="20"/>
                <w:szCs w:val="20"/>
                <w:color w:val="auto"/>
              </w:rPr>
            </w:pPr>
            <w:r>
              <w:rPr>
                <w:rFonts w:ascii="Arial" w:cs="Arial" w:eastAsia="Arial" w:hAnsi="Arial"/>
                <w:sz w:val="16"/>
                <w:szCs w:val="16"/>
                <w:color w:val="auto"/>
              </w:rPr>
              <w:t>Average daily rate</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5"/>
              <w:spacing w:after="0"/>
              <w:rPr>
                <w:sz w:val="20"/>
                <w:szCs w:val="20"/>
                <w:color w:val="auto"/>
              </w:rPr>
            </w:pPr>
            <w:r>
              <w:rPr>
                <w:rFonts w:ascii="Arial" w:cs="Arial" w:eastAsia="Arial" w:hAnsi="Arial"/>
                <w:sz w:val="16"/>
                <w:szCs w:val="16"/>
                <w:color w:val="auto"/>
              </w:rPr>
              <w:t>315.55</w:t>
            </w:r>
          </w:p>
        </w:tc>
        <w:tc>
          <w:tcPr>
            <w:tcW w:w="10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5"/>
              <w:spacing w:after="0"/>
              <w:rPr>
                <w:sz w:val="20"/>
                <w:szCs w:val="20"/>
                <w:color w:val="auto"/>
              </w:rPr>
            </w:pPr>
            <w:r>
              <w:rPr>
                <w:rFonts w:ascii="Arial" w:cs="Arial" w:eastAsia="Arial" w:hAnsi="Arial"/>
                <w:sz w:val="16"/>
                <w:szCs w:val="16"/>
                <w:color w:val="auto"/>
              </w:rPr>
              <w:t>211.59</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49.1 %</w:t>
            </w: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REVPAR</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203.83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70.92</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187.4 %</w:t>
            </w:r>
          </w:p>
        </w:tc>
      </w:tr>
    </w:tbl>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Other Operating Revenue and Expense Items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Development and Management Services Revenue</w:t>
      </w:r>
    </w:p>
    <w:p>
      <w:pPr>
        <w:spacing w:after="0" w:line="95" w:lineRule="exact"/>
        <w:rPr>
          <w:sz w:val="20"/>
          <w:szCs w:val="20"/>
          <w:color w:val="auto"/>
        </w:rPr>
      </w:pPr>
    </w:p>
    <w:p>
      <w:pPr>
        <w:ind w:right="100" w:firstLine="391"/>
        <w:spacing w:after="0" w:line="248" w:lineRule="auto"/>
        <w:rPr>
          <w:sz w:val="20"/>
          <w:szCs w:val="20"/>
          <w:color w:val="auto"/>
        </w:rPr>
      </w:pPr>
      <w:r>
        <w:rPr>
          <w:rFonts w:ascii="Arial" w:cs="Arial" w:eastAsia="Arial" w:hAnsi="Arial"/>
          <w:sz w:val="16"/>
          <w:szCs w:val="16"/>
          <w:color w:val="auto"/>
        </w:rPr>
        <w:t>Development and management services revenue increased by approximately $0.4 million for the year ended December 31, 2022 compared to 2021. Management services revenue increased by approximately $2.3 million and development services revenue decreased by approximately $1.9 million. The increase in management services revenue was primarily related to an increase in property management fees from an unconsolidated joint venture in the Boston region and asset management fees from unconsolidated joint ventures in the Los Angeles and Seattle regions. The decrease in development services revenue was primarily related to a decrease in development fees earned from unconsolidated joint venture properties in the Washington, DC and Boston regions, which were placed in-service during prior periods.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107" w:lineRule="exact"/>
        <w:rPr>
          <w:sz w:val="20"/>
          <w:szCs w:val="20"/>
          <w:color w:val="auto"/>
        </w:rPr>
      </w:pPr>
    </w:p>
    <w:p>
      <w:pPr>
        <w:ind w:right="140" w:firstLine="391"/>
        <w:spacing w:after="0" w:line="248" w:lineRule="auto"/>
        <w:rPr>
          <w:sz w:val="20"/>
          <w:szCs w:val="20"/>
          <w:color w:val="auto"/>
        </w:rPr>
      </w:pPr>
      <w:r>
        <w:rPr>
          <w:rFonts w:ascii="Arial" w:cs="Arial" w:eastAsia="Arial" w:hAnsi="Arial"/>
          <w:sz w:val="16"/>
          <w:szCs w:val="16"/>
          <w:color w:val="auto"/>
        </w:rPr>
        <w:t>General and administrative expense decreased by approximately $5.2 million for the year ended December 31, 2022 compared to 2021 primarily due to a decrease in compensation expense of approximately $11.9 million, partially offset by an approximately $6.7 million increase in other general and administrative expenses. The decrease in compensation expense related to an approximately $12.1 million decrease in the value of our deferred compensation plan and an approximately $0.2 million increase in other compensation expenses. The increase in other general and administrative expenses was primarily related to an increase in professional fees.</w:t>
      </w:r>
    </w:p>
    <w:p>
      <w:pPr>
        <w:spacing w:after="0" w:line="140" w:lineRule="exact"/>
        <w:rPr>
          <w:sz w:val="20"/>
          <w:szCs w:val="20"/>
          <w:color w:val="auto"/>
        </w:rPr>
      </w:pPr>
    </w:p>
    <w:p>
      <w:pPr>
        <w:ind w:right="180" w:firstLine="391"/>
        <w:spacing w:after="0" w:line="250" w:lineRule="auto"/>
        <w:rPr>
          <w:sz w:val="20"/>
          <w:szCs w:val="20"/>
          <w:color w:val="auto"/>
        </w:rPr>
      </w:pPr>
      <w:r>
        <w:rPr>
          <w:rFonts w:ascii="Arial" w:cs="Arial" w:eastAsia="Arial" w:hAnsi="Arial"/>
          <w:sz w:val="16"/>
          <w:szCs w:val="16"/>
          <w:color w:val="auto"/>
        </w:rPr>
        <w:t>Wages directly related to the development of rental properties are capitalized and included in real estate assets on our Consolidated Balance Sheets and amortized over the useful lives of the applicable asset or lease term. Capitalized wages for the year ended December 31, 2022 and 2021 were approximately $16.1 million and $13.7 million, respectively. These costs are not included in the general and administrative expenses discussed above.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Transaction Costs</w:t>
      </w:r>
    </w:p>
    <w:p>
      <w:pPr>
        <w:spacing w:after="0" w:line="107"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Transaction costs decreased by approximately $2.1 million for the year ended December 31, 2022 compared to 2021 due primarily to costs incurred in connection with the pursuit and formation of new joint ventures in 2021 that did not occur at the same levels in 2022. In general, transaction costs relating to the formation of new joint ventures and the pursuit of other transactions are expensed as incurred.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Depreciation and Amortization Expense</w:t>
      </w:r>
    </w:p>
    <w:p>
      <w:pPr>
        <w:spacing w:after="0" w:line="9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Annual Report on Form 10-K.</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BXP</w:t>
      </w:r>
    </w:p>
    <w:p>
      <w:pPr>
        <w:spacing w:after="0" w:line="107" w:lineRule="exact"/>
        <w:rPr>
          <w:sz w:val="20"/>
          <w:szCs w:val="20"/>
          <w:color w:val="auto"/>
        </w:rPr>
      </w:pPr>
    </w:p>
    <w:p>
      <w:pPr>
        <w:ind w:right="280" w:firstLine="391"/>
        <w:spacing w:after="0" w:line="253" w:lineRule="auto"/>
        <w:rPr>
          <w:sz w:val="20"/>
          <w:szCs w:val="20"/>
          <w:color w:val="auto"/>
        </w:rPr>
      </w:pPr>
      <w:r>
        <w:rPr>
          <w:rFonts w:ascii="Arial" w:cs="Arial" w:eastAsia="Arial" w:hAnsi="Arial"/>
          <w:sz w:val="16"/>
          <w:szCs w:val="16"/>
          <w:color w:val="auto"/>
        </w:rPr>
        <w:t>Depreciation and amortization expense increased by approximately $32.4 million for the year ended December 31, 2022 compared to 2021, as detailed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240" w:type="dxa"/>
            <w:vAlign w:val="bottom"/>
            <w:gridSpan w:val="8"/>
          </w:tcPr>
          <w:p>
            <w:pPr>
              <w:jc w:val="center"/>
              <w:spacing w:after="0"/>
              <w:rPr>
                <w:sz w:val="20"/>
                <w:szCs w:val="20"/>
                <w:color w:val="auto"/>
              </w:rPr>
            </w:pPr>
            <w:r>
              <w:rPr>
                <w:rFonts w:ascii="Arial" w:cs="Arial" w:eastAsia="Arial" w:hAnsi="Arial"/>
                <w:sz w:val="14"/>
                <w:szCs w:val="14"/>
                <w:b w:val="1"/>
                <w:bCs w:val="1"/>
                <w:color w:val="auto"/>
              </w:rPr>
              <w:t>Depreciation and Amortization for the year ended December</w:t>
            </w: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31,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Portfolio</w:t>
            </w:r>
          </w:p>
        </w:tc>
        <w:tc>
          <w:tcPr>
            <w:tcW w:w="300" w:type="dxa"/>
            <w:vAlign w:val="bottom"/>
          </w:tcPr>
          <w:p>
            <w:pPr>
              <w:spacing w:after="0"/>
              <w:rPr>
                <w:sz w:val="15"/>
                <w:szCs w:val="15"/>
                <w:color w:val="auto"/>
              </w:rPr>
            </w:pPr>
          </w:p>
        </w:tc>
        <w:tc>
          <w:tcPr>
            <w:tcW w:w="1020" w:type="dxa"/>
            <w:vAlign w:val="bottom"/>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Change</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Same Property Portfolio (1)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658,008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660,851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01"/>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6"/>
                <w:szCs w:val="16"/>
                <w:color w:val="auto"/>
              </w:rPr>
              <w:t>Properties Acquired Portfolio</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34,605</w:t>
            </w: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Placed In-Service Portfolio (2)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r>
      <w:tr>
        <w:trPr>
          <w:trHeight w:val="201"/>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6"/>
                <w:szCs w:val="16"/>
                <w:color w:val="auto"/>
              </w:rPr>
              <w:t>Properties in Development or Redevelopment Portfolio</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01"/>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Sold Portfolio</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15,792</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(7,454)</w:t>
            </w: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749,775</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717,336</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32,439</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80" w:hanging="292"/>
        <w:spacing w:after="0" w:line="256" w:lineRule="auto"/>
        <w:tabs>
          <w:tab w:leader="none" w:pos="4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During the year ended December 31, 2021, we commenced redevelopment of View Boston Observatory at The Prudential Center, a 59,000 net rentable square foot redevelopment of the top three floors of 800 Boylston Street - The Prudential Center, located in Boston, Massachusetts. As a result, during the year ended December 31, 2021, we recorded approximately $2.6 million of accelerated depreciation expense for the demolition of the space, of which approximately $0.8 million related to the step-up of real estate assets.</w:t>
      </w:r>
    </w:p>
    <w:p>
      <w:pPr>
        <w:ind w:left="500" w:right="440" w:hanging="292"/>
        <w:spacing w:after="0" w:line="261" w:lineRule="auto"/>
        <w:tabs>
          <w:tab w:leader="none" w:pos="4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 February 25, 2021, we commenced redevelopment of 880 Winter Street in Waltham, Massachusetts. As a result, during the year ended December 31, 2021, we recorded approximately $13.7 million of accelerated depreciation expense for the demolition of a portion of the building.</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BPLP</w:t>
      </w:r>
    </w:p>
    <w:p>
      <w:pPr>
        <w:spacing w:after="0" w:line="107" w:lineRule="exact"/>
        <w:rPr>
          <w:sz w:val="20"/>
          <w:szCs w:val="20"/>
          <w:color w:val="auto"/>
        </w:rPr>
      </w:pPr>
    </w:p>
    <w:p>
      <w:pPr>
        <w:ind w:right="280" w:firstLine="391"/>
        <w:spacing w:after="0" w:line="253" w:lineRule="auto"/>
        <w:rPr>
          <w:sz w:val="20"/>
          <w:szCs w:val="20"/>
          <w:color w:val="auto"/>
        </w:rPr>
      </w:pPr>
      <w:r>
        <w:rPr>
          <w:rFonts w:ascii="Arial" w:cs="Arial" w:eastAsia="Arial" w:hAnsi="Arial"/>
          <w:sz w:val="16"/>
          <w:szCs w:val="16"/>
          <w:color w:val="auto"/>
        </w:rPr>
        <w:t>Depreciation and amortization expense increased by approximately $33.3 million for the year ended December 31, 2022 compared to 2021, as detailed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240" w:type="dxa"/>
            <w:vAlign w:val="bottom"/>
            <w:gridSpan w:val="8"/>
          </w:tcPr>
          <w:p>
            <w:pPr>
              <w:jc w:val="center"/>
              <w:spacing w:after="0"/>
              <w:rPr>
                <w:sz w:val="20"/>
                <w:szCs w:val="20"/>
                <w:color w:val="auto"/>
              </w:rPr>
            </w:pPr>
            <w:r>
              <w:rPr>
                <w:rFonts w:ascii="Arial" w:cs="Arial" w:eastAsia="Arial" w:hAnsi="Arial"/>
                <w:sz w:val="14"/>
                <w:szCs w:val="14"/>
                <w:b w:val="1"/>
                <w:bCs w:val="1"/>
                <w:color w:val="auto"/>
              </w:rPr>
              <w:t>Depreciation and Amortization for the year ended December</w:t>
            </w: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31,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Portfolio</w:t>
            </w:r>
          </w:p>
        </w:tc>
        <w:tc>
          <w:tcPr>
            <w:tcW w:w="300" w:type="dxa"/>
            <w:vAlign w:val="bottom"/>
          </w:tcPr>
          <w:p>
            <w:pPr>
              <w:spacing w:after="0"/>
              <w:rPr>
                <w:sz w:val="15"/>
                <w:szCs w:val="15"/>
                <w:color w:val="auto"/>
              </w:rPr>
            </w:pPr>
          </w:p>
        </w:tc>
        <w:tc>
          <w:tcPr>
            <w:tcW w:w="1020" w:type="dxa"/>
            <w:vAlign w:val="bottom"/>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Change</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Same Property Portfolio (1)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650,774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652,550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01"/>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6"/>
                <w:szCs w:val="16"/>
                <w:color w:val="auto"/>
              </w:rPr>
              <w:t>Properties Acquired Portfolio</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34,605</w:t>
            </w: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Placed In-Service Portfolio (2)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r>
      <w:tr>
        <w:trPr>
          <w:trHeight w:val="201"/>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6"/>
                <w:szCs w:val="16"/>
                <w:color w:val="auto"/>
              </w:rPr>
              <w:t>Properties in Development or Redevelopment Portfolio</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1,045</w:t>
            </w:r>
          </w:p>
        </w:tc>
      </w:tr>
      <w:tr>
        <w:trPr>
          <w:trHeight w:val="201"/>
        </w:trPr>
        <w:tc>
          <w:tcPr>
            <w:tcW w:w="20" w:type="dxa"/>
            <w:vAlign w:val="bottom"/>
            <w:shd w:val="clear" w:color="auto" w:fill="CCEEFF"/>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Sold Portfolio</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15,792</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(7,454)</w:t>
            </w: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742,293</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709,035</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120" w:hanging="292"/>
        <w:spacing w:after="0" w:line="253" w:lineRule="auto"/>
        <w:tabs>
          <w:tab w:leader="none" w:pos="496" w:val="left"/>
        </w:tabs>
        <w:numPr>
          <w:ilvl w:val="0"/>
          <w:numId w:val="76"/>
        </w:numPr>
        <w:rPr>
          <w:rFonts w:ascii="Arial" w:cs="Arial" w:eastAsia="Arial" w:hAnsi="Arial"/>
          <w:sz w:val="14"/>
          <w:szCs w:val="14"/>
          <w:color w:val="auto"/>
        </w:rPr>
      </w:pPr>
      <w:r>
        <w:rPr>
          <w:rFonts w:ascii="Arial" w:cs="Arial" w:eastAsia="Arial" w:hAnsi="Arial"/>
          <w:sz w:val="14"/>
          <w:szCs w:val="14"/>
          <w:color w:val="auto"/>
        </w:rPr>
        <w:t>During the year ended December 31, 2021, we commenced redevelopment of View Boston Observatory at The Prudential Center, a 59,000 net rentable square foot redevelopment of the top three floors of 800 Boylston Street - The Prudential Center, located in Boston, Massachusetts. As a result, during the year ended December 31, 2021, we recorded approximately $1.8 million of accelerated depreciation expense for the demolition of the space.</w:t>
      </w:r>
    </w:p>
    <w:p>
      <w:pPr>
        <w:ind w:left="500" w:right="440" w:hanging="292"/>
        <w:spacing w:after="0" w:line="261" w:lineRule="auto"/>
        <w:tabs>
          <w:tab w:leader="none" w:pos="496"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February 25, 2021, we commenced redevelopment of 880 Winter Street in Waltham, Massachusetts. As a result, during the year ended December 31, 2021, we recorded approximately $13.7 million of accelerated depreciation expense for the demolition of a portion of the building.</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40" w:firstLine="178"/>
        <w:spacing w:after="0" w:line="277" w:lineRule="auto"/>
        <w:rPr>
          <w:sz w:val="20"/>
          <w:szCs w:val="20"/>
          <w:color w:val="auto"/>
        </w:rPr>
      </w:pPr>
      <w:r>
        <w:rPr>
          <w:rFonts w:ascii="Arial" w:cs="Arial" w:eastAsia="Arial" w:hAnsi="Arial"/>
          <w:sz w:val="16"/>
          <w:szCs w:val="16"/>
          <w:b w:val="1"/>
          <w:bCs w:val="1"/>
          <w:i w:val="1"/>
          <w:iCs w:val="1"/>
          <w:color w:val="auto"/>
        </w:rPr>
        <w:t>Direct Reimbursements of Payroll and Related Costs From Management Services Contracts and Payroll and Related Costs From Management Service Contracts</w:t>
      </w:r>
    </w:p>
    <w:p>
      <w:pPr>
        <w:spacing w:after="0" w:line="44" w:lineRule="exact"/>
        <w:rPr>
          <w:sz w:val="20"/>
          <w:szCs w:val="20"/>
          <w:color w:val="auto"/>
        </w:rPr>
      </w:pPr>
    </w:p>
    <w:p>
      <w:pPr>
        <w:ind w:right="200" w:firstLine="391"/>
        <w:spacing w:after="0" w:line="250" w:lineRule="auto"/>
        <w:rPr>
          <w:sz w:val="20"/>
          <w:szCs w:val="20"/>
          <w:color w:val="auto"/>
        </w:rPr>
      </w:pPr>
      <w:r>
        <w:rPr>
          <w:rFonts w:ascii="Arial" w:cs="Arial" w:eastAsia="Arial" w:hAnsi="Arial"/>
          <w:sz w:val="16"/>
          <w:szCs w:val="16"/>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Other Income and Expense Items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Loss from Unconsolidated Joint Ventures</w:t>
      </w:r>
    </w:p>
    <w:p>
      <w:pPr>
        <w:spacing w:after="0" w:line="107"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For the year ended December 31, 2022 compared to 2021, loss from unconsolidated joint ventures increased by approximately $57.3 million primarily due to (1) a $50.7 million non-cash impairment charge at our Dock 72 joint venture during the year ended December 31, 2022, (2) a $10.3 million gain on sale of investment from the sale of our Annapolis Junction joint venture interest during the year ended December 31, 2021 and (3) an increase in interest expense due to increasing interest rates on variable rate debt.</w:t>
      </w:r>
    </w:p>
    <w:p>
      <w:pPr>
        <w:spacing w:after="0" w:line="137" w:lineRule="exact"/>
        <w:rPr>
          <w:sz w:val="20"/>
          <w:szCs w:val="20"/>
          <w:color w:val="auto"/>
        </w:rPr>
      </w:pPr>
    </w:p>
    <w:p>
      <w:pPr>
        <w:ind w:right="200" w:firstLine="391"/>
        <w:spacing w:after="0" w:line="253" w:lineRule="auto"/>
        <w:rPr>
          <w:sz w:val="20"/>
          <w:szCs w:val="20"/>
          <w:color w:val="auto"/>
        </w:rPr>
      </w:pPr>
      <w:r>
        <w:rPr>
          <w:rFonts w:ascii="Arial" w:cs="Arial" w:eastAsia="Arial" w:hAnsi="Arial"/>
          <w:sz w:val="16"/>
          <w:szCs w:val="16"/>
          <w:color w:val="auto"/>
        </w:rPr>
        <w:t>The unconsolidated joint venture properties have approximately $4.0 billion of outstanding debt, which is primarily variable rate. Therefore, we expect our share of joint venture income to be impacted by higher interest rates.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Gains on Sales of Real Estate</w:t>
      </w:r>
    </w:p>
    <w:p>
      <w:pPr>
        <w:spacing w:after="0" w:line="107"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Annual Report on Form 10-K.</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BXP</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Gains on sales of real estate increased by approximately $313.4 million for the year ended December 31, 2022 compared to 2021, as detailed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2"/>
            <w:vMerge w:val="restart"/>
          </w:tcPr>
          <w:p>
            <w:pPr>
              <w:ind w:left="900"/>
              <w:spacing w:after="0"/>
              <w:rPr>
                <w:sz w:val="20"/>
                <w:szCs w:val="20"/>
                <w:color w:val="auto"/>
              </w:rPr>
            </w:pPr>
            <w:r>
              <w:rPr>
                <w:rFonts w:ascii="Arial" w:cs="Arial" w:eastAsia="Arial" w:hAnsi="Arial"/>
                <w:sz w:val="13"/>
                <w:szCs w:val="13"/>
                <w:b w:val="1"/>
                <w:bCs w:val="1"/>
                <w:color w:val="auto"/>
              </w:rPr>
              <w:t>Name</w:t>
            </w:r>
          </w:p>
        </w:tc>
        <w:tc>
          <w:tcPr>
            <w:tcW w:w="186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Date Sold</w:t>
            </w: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Property Type</w:t>
            </w: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Square Feet</w:t>
            </w:r>
          </w:p>
        </w:tc>
        <w:tc>
          <w:tcPr>
            <w:tcW w:w="160" w:type="dxa"/>
            <w:vAlign w:val="bottom"/>
          </w:tcPr>
          <w:p>
            <w:pPr>
              <w:spacing w:after="0"/>
              <w:rPr>
                <w:sz w:val="13"/>
                <w:szCs w:val="13"/>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Sale Price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Net Cash</w:t>
            </w:r>
          </w:p>
        </w:tc>
        <w:tc>
          <w:tcPr>
            <w:tcW w:w="100" w:type="dxa"/>
            <w:vAlign w:val="bottom"/>
          </w:tcPr>
          <w:p>
            <w:pPr>
              <w:spacing w:after="0"/>
              <w:rPr>
                <w:sz w:val="13"/>
                <w:szCs w:val="1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auto"/>
                <w:w w:val="95"/>
              </w:rPr>
              <w:t>Gain on Sale of</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Proceeds</w:t>
            </w:r>
          </w:p>
        </w:tc>
        <w:tc>
          <w:tcPr>
            <w:tcW w:w="10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rPr>
              <w:t>Real Estate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(dollars in millions)</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w w:val="89"/>
              </w:rPr>
              <w:t>2022</w:t>
            </w: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3"/>
          </w:tcPr>
          <w:p>
            <w:pPr>
              <w:spacing w:after="0"/>
              <w:rPr>
                <w:sz w:val="20"/>
                <w:szCs w:val="20"/>
                <w:color w:val="auto"/>
              </w:rPr>
            </w:pPr>
            <w:r>
              <w:rPr>
                <w:rFonts w:ascii="Arial" w:cs="Arial" w:eastAsia="Arial" w:hAnsi="Arial"/>
                <w:sz w:val="13"/>
                <w:szCs w:val="13"/>
                <w:color w:val="auto"/>
              </w:rPr>
              <w:t>195 West Street</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March 31, 2022</w:t>
            </w:r>
          </w:p>
        </w:tc>
        <w:tc>
          <w:tcPr>
            <w:tcW w:w="1280" w:type="dxa"/>
            <w:vAlign w:val="bottom"/>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Pr>
          <w:p>
            <w:pPr>
              <w:jc w:val="right"/>
              <w:spacing w:after="0"/>
              <w:rPr>
                <w:sz w:val="20"/>
                <w:szCs w:val="20"/>
                <w:color w:val="auto"/>
              </w:rPr>
            </w:pPr>
            <w:r>
              <w:rPr>
                <w:rFonts w:ascii="Arial" w:cs="Arial" w:eastAsia="Arial" w:hAnsi="Arial"/>
                <w:sz w:val="13"/>
                <w:szCs w:val="13"/>
                <w:color w:val="auto"/>
              </w:rPr>
              <w:t>63,500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37.7</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22.7</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Virginia 95 Office Park</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15, 2022</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Office/Flex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733,421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3"/>
          </w:tcPr>
          <w:p>
            <w:pPr>
              <w:spacing w:after="0"/>
              <w:rPr>
                <w:sz w:val="20"/>
                <w:szCs w:val="20"/>
                <w:color w:val="auto"/>
              </w:rPr>
            </w:pPr>
            <w:r>
              <w:rPr>
                <w:rFonts w:ascii="Arial" w:cs="Arial" w:eastAsia="Arial" w:hAnsi="Arial"/>
                <w:sz w:val="13"/>
                <w:szCs w:val="13"/>
                <w:color w:val="auto"/>
              </w:rPr>
              <w:t>601 Massachusetts Avenue</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August 30, 2022</w:t>
            </w:r>
          </w:p>
        </w:tc>
        <w:tc>
          <w:tcPr>
            <w:tcW w:w="1280" w:type="dxa"/>
            <w:vAlign w:val="bottom"/>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Pr>
          <w:p>
            <w:pPr>
              <w:jc w:val="right"/>
              <w:spacing w:after="0"/>
              <w:rPr>
                <w:sz w:val="20"/>
                <w:szCs w:val="20"/>
                <w:color w:val="auto"/>
              </w:rPr>
            </w:pPr>
            <w:r>
              <w:rPr>
                <w:rFonts w:ascii="Arial" w:cs="Arial" w:eastAsia="Arial" w:hAnsi="Arial"/>
                <w:sz w:val="13"/>
                <w:szCs w:val="13"/>
                <w:color w:val="auto"/>
              </w:rPr>
              <w:t>478,667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237.4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Broadrun Land Parcel</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September 15, 2022</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The Avant at Reston Town Center</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November 8, 2022</w:t>
            </w:r>
          </w:p>
        </w:tc>
        <w:tc>
          <w:tcPr>
            <w:tcW w:w="1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Residential</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329,195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864.2</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gridSpan w:val="2"/>
            <w:vMerge w:val="restart"/>
          </w:tcPr>
          <w:p>
            <w:pPr>
              <w:ind w:left="20"/>
              <w:spacing w:after="0" w:line="126" w:lineRule="exact"/>
              <w:rPr>
                <w:sz w:val="20"/>
                <w:szCs w:val="20"/>
                <w:color w:val="auto"/>
              </w:rPr>
            </w:pPr>
            <w:r>
              <w:rPr>
                <w:rFonts w:ascii="Arial" w:cs="Arial" w:eastAsia="Arial" w:hAnsi="Arial"/>
                <w:sz w:val="13"/>
                <w:szCs w:val="13"/>
                <w:b w:val="1"/>
                <w:bCs w:val="1"/>
                <w:color w:val="auto"/>
                <w:w w:val="89"/>
              </w:rPr>
              <w:t>2021</w:t>
            </w:r>
          </w:p>
        </w:tc>
        <w:tc>
          <w:tcPr>
            <w:tcW w:w="24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0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6595 Springfield Center Drive</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13, 2018</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181, 191 and 201 Spring Street</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October 25, 2021</w:t>
            </w:r>
          </w:p>
        </w:tc>
        <w:tc>
          <w:tcPr>
            <w:tcW w:w="1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333,000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115.6</w:t>
            </w: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20" w:hanging="292"/>
        <w:spacing w:after="0" w:line="256" w:lineRule="auto"/>
        <w:tabs>
          <w:tab w:leader="none" w:pos="496"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Excludes approximately $0.7 million of gains on sales of real estate recognized during the year ended December 31, 2022 related to gains on sales of real estate occurring in the prior year.</w:t>
      </w:r>
    </w:p>
    <w:p>
      <w:pPr>
        <w:ind w:left="500" w:right="120" w:hanging="292"/>
        <w:spacing w:after="0" w:line="254" w:lineRule="auto"/>
        <w:tabs>
          <w:tab w:leader="none" w:pos="496" w:val="left"/>
        </w:tabs>
        <w:numPr>
          <w:ilvl w:val="0"/>
          <w:numId w:val="77"/>
        </w:numPr>
        <w:rPr>
          <w:rFonts w:ascii="Arial" w:cs="Arial" w:eastAsia="Arial" w:hAnsi="Arial"/>
          <w:sz w:val="14"/>
          <w:szCs w:val="14"/>
          <w:color w:val="auto"/>
        </w:rPr>
      </w:pPr>
      <w:r>
        <w:rPr>
          <w:rFonts w:ascii="Arial" w:cs="Arial" w:eastAsia="Arial" w:hAnsi="Arial"/>
          <w:sz w:val="14"/>
          <w:szCs w:val="14"/>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$8.1 million.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BPLP</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Gains on sales of real estate increased by approximately $315.9 million for the year ended December 31, 2022 compared to 2021, as detailed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2"/>
            <w:vMerge w:val="restart"/>
          </w:tcPr>
          <w:p>
            <w:pPr>
              <w:ind w:left="900"/>
              <w:spacing w:after="0"/>
              <w:rPr>
                <w:sz w:val="20"/>
                <w:szCs w:val="20"/>
                <w:color w:val="auto"/>
              </w:rPr>
            </w:pPr>
            <w:r>
              <w:rPr>
                <w:rFonts w:ascii="Arial" w:cs="Arial" w:eastAsia="Arial" w:hAnsi="Arial"/>
                <w:sz w:val="13"/>
                <w:szCs w:val="13"/>
                <w:b w:val="1"/>
                <w:bCs w:val="1"/>
                <w:color w:val="auto"/>
              </w:rPr>
              <w:t>Name</w:t>
            </w:r>
          </w:p>
        </w:tc>
        <w:tc>
          <w:tcPr>
            <w:tcW w:w="186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Date Sold</w:t>
            </w: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Property Type</w:t>
            </w: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Square Feet</w:t>
            </w:r>
          </w:p>
        </w:tc>
        <w:tc>
          <w:tcPr>
            <w:tcW w:w="160" w:type="dxa"/>
            <w:vAlign w:val="bottom"/>
          </w:tcPr>
          <w:p>
            <w:pPr>
              <w:spacing w:after="0"/>
              <w:rPr>
                <w:sz w:val="13"/>
                <w:szCs w:val="13"/>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Sale Price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Net Cash</w:t>
            </w:r>
          </w:p>
        </w:tc>
        <w:tc>
          <w:tcPr>
            <w:tcW w:w="100" w:type="dxa"/>
            <w:vAlign w:val="bottom"/>
          </w:tcPr>
          <w:p>
            <w:pPr>
              <w:spacing w:after="0"/>
              <w:rPr>
                <w:sz w:val="13"/>
                <w:szCs w:val="1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auto"/>
                <w:w w:val="95"/>
              </w:rPr>
              <w:t>Gain on Sale of</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Proceeds</w:t>
            </w:r>
          </w:p>
        </w:tc>
        <w:tc>
          <w:tcPr>
            <w:tcW w:w="10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rPr>
              <w:t>Real Estate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(dollars in millions)</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w w:val="89"/>
              </w:rPr>
              <w:t>2022</w:t>
            </w: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3"/>
          </w:tcPr>
          <w:p>
            <w:pPr>
              <w:spacing w:after="0"/>
              <w:rPr>
                <w:sz w:val="20"/>
                <w:szCs w:val="20"/>
                <w:color w:val="auto"/>
              </w:rPr>
            </w:pPr>
            <w:r>
              <w:rPr>
                <w:rFonts w:ascii="Arial" w:cs="Arial" w:eastAsia="Arial" w:hAnsi="Arial"/>
                <w:sz w:val="13"/>
                <w:szCs w:val="13"/>
                <w:color w:val="auto"/>
              </w:rPr>
              <w:t>195 West Street</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March 31, 2022</w:t>
            </w:r>
          </w:p>
        </w:tc>
        <w:tc>
          <w:tcPr>
            <w:tcW w:w="1280" w:type="dxa"/>
            <w:vAlign w:val="bottom"/>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Pr>
          <w:p>
            <w:pPr>
              <w:jc w:val="right"/>
              <w:spacing w:after="0"/>
              <w:rPr>
                <w:sz w:val="20"/>
                <w:szCs w:val="20"/>
                <w:color w:val="auto"/>
              </w:rPr>
            </w:pPr>
            <w:r>
              <w:rPr>
                <w:rFonts w:ascii="Arial" w:cs="Arial" w:eastAsia="Arial" w:hAnsi="Arial"/>
                <w:sz w:val="13"/>
                <w:szCs w:val="13"/>
                <w:color w:val="auto"/>
              </w:rPr>
              <w:t>63,500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37.7</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23.4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Virginia 95 Office Park</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15, 2022</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Office/Flex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733,421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3"/>
          </w:tcPr>
          <w:p>
            <w:pPr>
              <w:spacing w:after="0"/>
              <w:rPr>
                <w:sz w:val="20"/>
                <w:szCs w:val="20"/>
                <w:color w:val="auto"/>
              </w:rPr>
            </w:pPr>
            <w:r>
              <w:rPr>
                <w:rFonts w:ascii="Arial" w:cs="Arial" w:eastAsia="Arial" w:hAnsi="Arial"/>
                <w:sz w:val="13"/>
                <w:szCs w:val="13"/>
                <w:color w:val="auto"/>
              </w:rPr>
              <w:t>601 Massachusetts Avenue</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August 30, 2022</w:t>
            </w:r>
          </w:p>
        </w:tc>
        <w:tc>
          <w:tcPr>
            <w:tcW w:w="1280" w:type="dxa"/>
            <w:vAlign w:val="bottom"/>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Pr>
          <w:p>
            <w:pPr>
              <w:jc w:val="right"/>
              <w:spacing w:after="0"/>
              <w:rPr>
                <w:sz w:val="20"/>
                <w:szCs w:val="20"/>
                <w:color w:val="auto"/>
              </w:rPr>
            </w:pPr>
            <w:r>
              <w:rPr>
                <w:rFonts w:ascii="Arial" w:cs="Arial" w:eastAsia="Arial" w:hAnsi="Arial"/>
                <w:sz w:val="13"/>
                <w:szCs w:val="13"/>
                <w:color w:val="auto"/>
              </w:rPr>
              <w:t>478,667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237.5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Broadrun Land Parcel</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September 15, 2022</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The Avant at Reston Town Center</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November 8, 2022</w:t>
            </w:r>
          </w:p>
        </w:tc>
        <w:tc>
          <w:tcPr>
            <w:tcW w:w="1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Residential</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329,195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864.2</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440.4</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gridSpan w:val="2"/>
            <w:vMerge w:val="restart"/>
          </w:tcPr>
          <w:p>
            <w:pPr>
              <w:ind w:left="20"/>
              <w:spacing w:after="0" w:line="126" w:lineRule="exact"/>
              <w:rPr>
                <w:sz w:val="20"/>
                <w:szCs w:val="20"/>
                <w:color w:val="auto"/>
              </w:rPr>
            </w:pPr>
            <w:r>
              <w:rPr>
                <w:rFonts w:ascii="Arial" w:cs="Arial" w:eastAsia="Arial" w:hAnsi="Arial"/>
                <w:sz w:val="13"/>
                <w:szCs w:val="13"/>
                <w:b w:val="1"/>
                <w:bCs w:val="1"/>
                <w:color w:val="auto"/>
                <w:w w:val="89"/>
              </w:rPr>
              <w:t>2021</w:t>
            </w:r>
          </w:p>
        </w:tc>
        <w:tc>
          <w:tcPr>
            <w:tcW w:w="24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0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6595 Springfield Center Drive</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13, 2018</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181, 191 and 201 Spring Street</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October 25, 2021</w:t>
            </w:r>
          </w:p>
        </w:tc>
        <w:tc>
          <w:tcPr>
            <w:tcW w:w="1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333,000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117.1</w:t>
            </w: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500" w:right="20" w:hanging="292"/>
        <w:spacing w:after="0" w:line="256" w:lineRule="auto"/>
        <w:tabs>
          <w:tab w:leader="none" w:pos="496"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Excludes approximately $0.7 million of gains on sales of real estate recognized during the year ended December 31, 2022 related to gains on sales of real estate occurring in the prior year.</w:t>
      </w:r>
    </w:p>
    <w:p>
      <w:pPr>
        <w:ind w:left="500" w:right="120" w:hanging="292"/>
        <w:spacing w:after="0" w:line="263" w:lineRule="auto"/>
        <w:tabs>
          <w:tab w:leader="none" w:pos="496"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$8.1 million.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Gain on sales-type lease</w:t>
      </w:r>
    </w:p>
    <w:p>
      <w:pPr>
        <w:spacing w:after="0" w:line="9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In connection with a ground lease amendment, executed on December 19, 2022 with a third-party hotel developer, we recorded a sales-type lease receivable of approximately $13.0 million, which includes an unguaranteed residual asset of approximately $17,000. The sales-type lease receivable was measured as the present value of the fixed and determinable lease payments, including the unguaranteed residual value of the asset at the end of the lease, discounted at the rate implicit in the lease. In addition, we recorded a gain on sales-type lease of approximately $10.1 million associated with the derecognition of the asset. We did not recognize any interest income during the year ended December 31, 2022 (See Note 4 to the Consolidated Financial Statements).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Interest and Other Income (Loss)</w:t>
      </w:r>
    </w:p>
    <w:p>
      <w:pPr>
        <w:spacing w:after="0" w:line="107" w:lineRule="exact"/>
        <w:rPr>
          <w:sz w:val="20"/>
          <w:szCs w:val="20"/>
          <w:color w:val="auto"/>
        </w:rPr>
      </w:pPr>
    </w:p>
    <w:p>
      <w:pPr>
        <w:ind w:right="380" w:firstLine="391"/>
        <w:spacing w:after="0" w:line="253" w:lineRule="auto"/>
        <w:rPr>
          <w:sz w:val="20"/>
          <w:szCs w:val="20"/>
          <w:color w:val="auto"/>
        </w:rPr>
      </w:pPr>
      <w:r>
        <w:rPr>
          <w:rFonts w:ascii="Arial" w:cs="Arial" w:eastAsia="Arial" w:hAnsi="Arial"/>
          <w:sz w:val="16"/>
          <w:szCs w:val="16"/>
          <w:color w:val="auto"/>
        </w:rPr>
        <w:t>Interest and other income (loss) increased by approximately $6.2 million for the year ended December 31, 2022 compared to 2021, due primarily to an increase of approximately $7.3 million in interest income due to increased interest earned on our deposits.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Other Income - Assignment Fee</w:t>
      </w:r>
    </w:p>
    <w:p>
      <w:pPr>
        <w:spacing w:after="0" w:line="107"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Gains (Losses) from Investments in Securities</w:t>
      </w:r>
    </w:p>
    <w:p>
      <w:pPr>
        <w:spacing w:after="0" w:line="95" w:lineRule="exact"/>
        <w:rPr>
          <w:sz w:val="20"/>
          <w:szCs w:val="20"/>
          <w:color w:val="auto"/>
        </w:rPr>
      </w:pPr>
    </w:p>
    <w:p>
      <w:pPr>
        <w:ind w:right="280" w:firstLine="391"/>
        <w:spacing w:after="0" w:line="249" w:lineRule="auto"/>
        <w:rPr>
          <w:sz w:val="20"/>
          <w:szCs w:val="20"/>
          <w:color w:val="auto"/>
        </w:rPr>
      </w:pPr>
      <w:r>
        <w:rPr>
          <w:rFonts w:ascii="Arial" w:cs="Arial" w:eastAsia="Arial" w:hAnsi="Arial"/>
          <w:sz w:val="16"/>
          <w:szCs w:val="16"/>
          <w:color w:val="auto"/>
        </w:rPr>
        <w:t>Gains (losses) from investments in securities for the year ended December 31,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year ended December 31, 2022 and 2021, we recognized gains (losses) of approximately $(6.5) million and $5.6 million, respectively, on these investments. By comparison, our general and administrative expense increased (decreased) by approximately $(6.5) million and $5.6 million during the year ended December 31, 2022 and 2021,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Unrealized Loss on Non-Real Estate Investment</w:t>
      </w:r>
    </w:p>
    <w:p>
      <w:pPr>
        <w:spacing w:after="0" w:line="107" w:lineRule="exact"/>
        <w:rPr>
          <w:sz w:val="20"/>
          <w:szCs w:val="20"/>
          <w:color w:val="auto"/>
        </w:rPr>
      </w:pPr>
    </w:p>
    <w:p>
      <w:pPr>
        <w:ind w:right="280" w:firstLine="391"/>
        <w:spacing w:after="0" w:line="253" w:lineRule="auto"/>
        <w:rPr>
          <w:sz w:val="20"/>
          <w:szCs w:val="20"/>
          <w:color w:val="auto"/>
        </w:rPr>
      </w:pPr>
      <w:r>
        <w:rPr>
          <w:rFonts w:ascii="Arial" w:cs="Arial" w:eastAsia="Arial" w:hAnsi="Arial"/>
          <w:sz w:val="16"/>
          <w:szCs w:val="16"/>
          <w:color w:val="auto"/>
        </w:rPr>
        <w:t>During the year ended December 31, 2022, we began investing in non-real estate investments, which are primarily environmentally focused investment funds. As a result, we recognized an unrealized loss of $0.2 million due to the observable changes in the fair value of the investments.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Losses From Early Extinguishment of Debt</w:t>
      </w:r>
    </w:p>
    <w:p>
      <w:pPr>
        <w:spacing w:after="0" w:line="95" w:lineRule="exact"/>
        <w:rPr>
          <w:sz w:val="20"/>
          <w:szCs w:val="20"/>
          <w:color w:val="auto"/>
        </w:rPr>
      </w:pPr>
    </w:p>
    <w:p>
      <w:pPr>
        <w:jc w:val="both"/>
        <w:ind w:right="40" w:firstLine="391"/>
        <w:spacing w:after="0" w:line="249" w:lineRule="auto"/>
        <w:rPr>
          <w:sz w:val="20"/>
          <w:szCs w:val="20"/>
          <w:color w:val="auto"/>
        </w:rPr>
      </w:pPr>
      <w:r>
        <w:rPr>
          <w:rFonts w:ascii="Arial" w:cs="Arial" w:eastAsia="Arial" w:hAnsi="Arial"/>
          <w:sz w:val="16"/>
          <w:szCs w:val="16"/>
          <w:color w:val="auto"/>
        </w:rPr>
        <w:t>On February 14, 2021, BPLP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We recognized a loss from early extinguishment of debt totaling approximately $0.4 million related to unamortized origination costs.</w:t>
      </w:r>
    </w:p>
    <w:p>
      <w:pPr>
        <w:spacing w:after="0" w:line="137"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On March 16, 2021, BPLP repaid $500.0 million, representing all amounts outstanding on its delayed draw term loan facility (“Delayed Draw Facility”) under its prior unsecured revolving credit agreement. We recognized a loss from early extinguishment of debt totaling approximately $0.5 million related to the acceleration of remaining unamortized financing costs.</w:t>
      </w:r>
    </w:p>
    <w:p>
      <w:pPr>
        <w:spacing w:after="0" w:line="136" w:lineRule="exact"/>
        <w:rPr>
          <w:sz w:val="20"/>
          <w:szCs w:val="20"/>
          <w:color w:val="auto"/>
        </w:rPr>
      </w:pPr>
    </w:p>
    <w:p>
      <w:pPr>
        <w:jc w:val="both"/>
        <w:ind w:right="40" w:firstLine="391"/>
        <w:spacing w:after="0" w:line="263" w:lineRule="auto"/>
        <w:rPr>
          <w:sz w:val="20"/>
          <w:szCs w:val="20"/>
          <w:color w:val="auto"/>
        </w:rPr>
      </w:pPr>
      <w:r>
        <w:rPr>
          <w:rFonts w:ascii="Arial" w:cs="Arial" w:eastAsia="Arial" w:hAnsi="Arial"/>
          <w:sz w:val="15"/>
          <w:szCs w:val="15"/>
          <w:color w:val="auto"/>
        </w:rPr>
        <w:t>On October 15, 2021, BPLP used proceeds from its September 2021 offering of unsecured senior notes and borrowings under its new credit facility, which replaced the prior credit facility (as amended and restated, the “2021 Credit Facility”) to complete the redemption of $1.0 billion in aggregate principal amount of its 3.85% senior notes due February 1, 2023. The redemption price was approximately $1.05 billion. The redemption price included approximately $7.9 million of accrued and unpaid interest to, but not including, the redemption date. Excluding the accrued and unpaid interest, the redemption price was approximately</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104.284% of the principal amount being redeemed. We recognized a loss from early extinguishment of debt totaling approximately $44.2 million, which amount included the payment of the redemption premium totaling approximately $42.8 million.</w:t>
      </w:r>
    </w:p>
    <w:p>
      <w:pPr>
        <w:spacing w:after="0" w:line="134"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December 10, 2021, the consolidated entity in which we have a 55% interest refinanced the mortgage loan collateralized by its 601 Lexington Avenue property located in New York City with a new lender. The mortgage loan has a principal amount of $1.0 billion, requires interest-only payments at a fixed interest rate of 2.79% per annum and matures on January 9, 2032. The previous mortgage loan had an outstanding balance of approximately $616.1 million, bore interest at a fixed rate of 4.75% per annum and was scheduled to mature on April 10, 2022. There was no prepayment penalty associated with the repayment of the previous mortgage loan. We recognized a loss from early extinguishment of debt totaling approximately $0.1 million due to the write-off of unamortized deferred financing costs.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increased by approximately $13.8 million for the year ended December 31, 2022 compared to 2021, as detailed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ind w:right="83"/>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ind w:right="83"/>
              <w:spacing w:after="0" w:line="143" w:lineRule="exact"/>
              <w:rPr>
                <w:sz w:val="20"/>
                <w:szCs w:val="20"/>
                <w:color w:val="auto"/>
              </w:rPr>
            </w:pPr>
            <w:r>
              <w:rPr>
                <w:rFonts w:ascii="Arial" w:cs="Arial" w:eastAsia="Arial" w:hAnsi="Arial"/>
                <w:sz w:val="14"/>
                <w:szCs w:val="14"/>
                <w:b w:val="1"/>
                <w:bCs w:val="1"/>
                <w:color w:val="auto"/>
              </w:rPr>
              <w:t>expense for the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2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December 31, 2022 compared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jc w:val="center"/>
              <w:ind w:right="63"/>
              <w:spacing w:after="0" w:line="154" w:lineRule="exact"/>
              <w:rPr>
                <w:sz w:val="20"/>
                <w:szCs w:val="20"/>
                <w:color w:val="auto"/>
              </w:rPr>
            </w:pPr>
            <w:r>
              <w:rPr>
                <w:rFonts w:ascii="Arial" w:cs="Arial" w:eastAsia="Arial" w:hAnsi="Arial"/>
                <w:sz w:val="14"/>
                <w:szCs w:val="14"/>
                <w:b w:val="1"/>
                <w:bCs w:val="1"/>
                <w:color w:val="auto"/>
              </w:rPr>
              <w:t>to December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jc w:val="center"/>
              <w:ind w:right="6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Increases to interest expense due to:</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gridSpan w:val="2"/>
          </w:tcPr>
          <w:p>
            <w:pPr>
              <w:ind w:left="280"/>
              <w:spacing w:after="0"/>
              <w:rPr>
                <w:sz w:val="20"/>
                <w:szCs w:val="20"/>
                <w:color w:val="auto"/>
              </w:rPr>
            </w:pPr>
            <w:r>
              <w:rPr>
                <w:rFonts w:ascii="Arial" w:cs="Arial" w:eastAsia="Arial" w:hAnsi="Arial"/>
                <w:sz w:val="16"/>
                <w:szCs w:val="16"/>
                <w:color w:val="auto"/>
              </w:rPr>
              <w:t>Increase in interest associated with unsecured credit facilities and term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3"/>
              <w:spacing w:after="0"/>
              <w:rPr>
                <w:sz w:val="20"/>
                <w:szCs w:val="20"/>
                <w:color w:val="auto"/>
              </w:rPr>
            </w:pPr>
            <w:r>
              <w:rPr>
                <w:rFonts w:ascii="Arial" w:cs="Arial" w:eastAsia="Arial" w:hAnsi="Arial"/>
                <w:sz w:val="16"/>
                <w:szCs w:val="16"/>
                <w:color w:val="auto"/>
              </w:rPr>
              <w:t>19,592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of $850 million in aggregate principal of 2.450% senior notes due 2033 on September 29, 2021</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gridSpan w:val="2"/>
          </w:tcPr>
          <w:p>
            <w:pPr>
              <w:ind w:left="280"/>
              <w:spacing w:after="0"/>
              <w:rPr>
                <w:sz w:val="20"/>
                <w:szCs w:val="20"/>
                <w:color w:val="auto"/>
              </w:rPr>
            </w:pPr>
            <w:r>
              <w:rPr>
                <w:rFonts w:ascii="Arial" w:cs="Arial" w:eastAsia="Arial" w:hAnsi="Arial"/>
                <w:sz w:val="16"/>
                <w:szCs w:val="16"/>
                <w:color w:val="auto"/>
              </w:rPr>
              <w:t>Issuance of $750 million in aggregate principal of 6.750% senior notes due 2027 on November 17, 2022</w:t>
            </w:r>
          </w:p>
        </w:tc>
        <w:tc>
          <w:tcPr>
            <w:tcW w:w="140" w:type="dxa"/>
            <w:vAlign w:val="bottom"/>
          </w:tcPr>
          <w:p>
            <w:pPr>
              <w:spacing w:after="0"/>
              <w:rPr>
                <w:sz w:val="17"/>
                <w:szCs w:val="17"/>
                <w:color w:val="auto"/>
              </w:rPr>
            </w:pPr>
          </w:p>
        </w:tc>
        <w:tc>
          <w:tcPr>
            <w:tcW w:w="2040" w:type="dxa"/>
            <w:vAlign w:val="bottom"/>
          </w:tcPr>
          <w:p>
            <w:pPr>
              <w:jc w:val="right"/>
              <w:ind w:right="3"/>
              <w:spacing w:after="0"/>
              <w:rPr>
                <w:sz w:val="20"/>
                <w:szCs w:val="20"/>
                <w:color w:val="auto"/>
              </w:rPr>
            </w:pPr>
            <w:r>
              <w:rPr>
                <w:rFonts w:ascii="Arial" w:cs="Arial" w:eastAsia="Arial" w:hAnsi="Arial"/>
                <w:sz w:val="16"/>
                <w:szCs w:val="16"/>
                <w:color w:val="auto"/>
              </w:rPr>
              <w:t>6,197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of $850 million in aggregate principal of 2.550% senior notes due 2032 on March 16, 2021</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gridSpan w:val="2"/>
          </w:tcPr>
          <w:p>
            <w:pPr>
              <w:ind w:left="280"/>
              <w:spacing w:after="0"/>
              <w:rPr>
                <w:sz w:val="20"/>
                <w:szCs w:val="20"/>
                <w:color w:val="auto"/>
              </w:rPr>
            </w:pPr>
            <w:r>
              <w:rPr>
                <w:rFonts w:ascii="Arial" w:cs="Arial" w:eastAsia="Arial" w:hAnsi="Arial"/>
                <w:sz w:val="16"/>
                <w:szCs w:val="16"/>
                <w:color w:val="auto"/>
              </w:rPr>
              <w:t>Amortization expense of financing fees primarily related to the 2022 Unsecured Term Loan</w:t>
            </w:r>
          </w:p>
        </w:tc>
        <w:tc>
          <w:tcPr>
            <w:tcW w:w="140" w:type="dxa"/>
            <w:vAlign w:val="bottom"/>
          </w:tcPr>
          <w:p>
            <w:pPr>
              <w:spacing w:after="0"/>
              <w:rPr>
                <w:sz w:val="17"/>
                <w:szCs w:val="17"/>
                <w:color w:val="auto"/>
              </w:rPr>
            </w:pPr>
          </w:p>
        </w:tc>
        <w:tc>
          <w:tcPr>
            <w:tcW w:w="2040" w:type="dxa"/>
            <w:vAlign w:val="bottom"/>
          </w:tcPr>
          <w:p>
            <w:pPr>
              <w:jc w:val="right"/>
              <w:ind w:right="3"/>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Increase in interest due to finance lease for one in-service property</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9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Decrease in capitalized interest related to development projects</w:t>
            </w: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90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increases to interest expense</w:t>
            </w:r>
          </w:p>
        </w:tc>
        <w:tc>
          <w:tcPr>
            <w:tcW w:w="14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49,575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gridSpan w:val="2"/>
          </w:tcPr>
          <w:p>
            <w:pPr>
              <w:spacing w:after="0"/>
              <w:rPr>
                <w:sz w:val="20"/>
                <w:szCs w:val="20"/>
                <w:color w:val="auto"/>
              </w:rPr>
            </w:pPr>
            <w:r>
              <w:rPr>
                <w:rFonts w:ascii="Arial" w:cs="Arial" w:eastAsia="Arial" w:hAnsi="Arial"/>
                <w:sz w:val="16"/>
                <w:szCs w:val="16"/>
                <w:color w:val="auto"/>
              </w:rPr>
              <w:t>Decreases to interest expense due to:</w:t>
            </w: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Redemption of $1.0 billion in aggregate principal of 3.85% senior notes due 2023 on October 15, 2021</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gridSpan w:val="2"/>
          </w:tcPr>
          <w:p>
            <w:pPr>
              <w:ind w:left="280"/>
              <w:spacing w:after="0"/>
              <w:rPr>
                <w:sz w:val="20"/>
                <w:szCs w:val="20"/>
                <w:color w:val="auto"/>
              </w:rPr>
            </w:pPr>
            <w:r>
              <w:rPr>
                <w:rFonts w:ascii="Arial" w:cs="Arial" w:eastAsia="Arial" w:hAnsi="Arial"/>
                <w:sz w:val="16"/>
                <w:szCs w:val="16"/>
                <w:color w:val="auto"/>
              </w:rPr>
              <w:t>Redemption of $850 million in aggregate principal of 4.125% senior notes due 2021 on February 14, 2021</w:t>
            </w:r>
          </w:p>
        </w:tc>
        <w:tc>
          <w:tcPr>
            <w:tcW w:w="1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interest expense (excluding senior notes)</w:t>
            </w:r>
          </w:p>
        </w:tc>
        <w:tc>
          <w:tcPr>
            <w:tcW w:w="1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9060" w:type="dxa"/>
            <w:vAlign w:val="bottom"/>
            <w:tcBorders>
              <w:bottom w:val="single" w:sz="8" w:color="CCEEFF"/>
            </w:tcBorders>
            <w:gridSpan w:val="2"/>
          </w:tcPr>
          <w:p>
            <w:pPr>
              <w:spacing w:after="0" w:line="180" w:lineRule="exact"/>
              <w:rPr>
                <w:sz w:val="20"/>
                <w:szCs w:val="20"/>
                <w:color w:val="auto"/>
              </w:rPr>
            </w:pPr>
            <w:r>
              <w:rPr>
                <w:rFonts w:ascii="Arial" w:cs="Arial" w:eastAsia="Arial" w:hAnsi="Arial"/>
                <w:sz w:val="16"/>
                <w:szCs w:val="16"/>
                <w:color w:val="auto"/>
              </w:rPr>
              <w:t>Total decreases to interest expense</w:t>
            </w: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9060" w:type="dxa"/>
            <w:vAlign w:val="bottom"/>
            <w:tcBorders>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change in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391"/>
        <w:spacing w:after="0" w:line="249" w:lineRule="auto"/>
        <w:rPr>
          <w:sz w:val="20"/>
          <w:szCs w:val="20"/>
          <w:color w:val="auto"/>
        </w:rPr>
      </w:pPr>
      <w:r>
        <w:rPr>
          <w:rFonts w:ascii="Arial" w:cs="Arial" w:eastAsia="Arial" w:hAnsi="Arial"/>
          <w:sz w:val="16"/>
          <w:szCs w:val="16"/>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years ended December 31, 2022 and 2021 was approximately $52.1 million and $53.1 million, respectively. These costs are not included in the interest expense referenced above.</w:t>
      </w:r>
    </w:p>
    <w:p>
      <w:pPr>
        <w:spacing w:after="0" w:line="137" w:lineRule="exact"/>
        <w:rPr>
          <w:sz w:val="20"/>
          <w:szCs w:val="20"/>
          <w:color w:val="auto"/>
        </w:rPr>
      </w:pPr>
    </w:p>
    <w:p>
      <w:pPr>
        <w:ind w:right="160" w:firstLine="356"/>
        <w:spacing w:after="0" w:line="250" w:lineRule="auto"/>
        <w:rPr>
          <w:sz w:val="20"/>
          <w:szCs w:val="20"/>
          <w:color w:val="auto"/>
        </w:rPr>
      </w:pPr>
      <w:r>
        <w:rPr>
          <w:rFonts w:ascii="Arial" w:cs="Arial" w:eastAsia="Arial" w:hAnsi="Arial"/>
          <w:sz w:val="16"/>
          <w:szCs w:val="16"/>
          <w:color w:val="auto"/>
        </w:rPr>
        <w:t>We expect our interest expense will be materially greater in 2023 compared to 2022 due to the cessation of capitalized interest on our development deliveries, acquisitions funded by debt, higher interest rates on our floating rate debt, and the impact of refinancing our 2023 debt maturities at materially higher interest rates.</w:t>
      </w:r>
    </w:p>
    <w:p>
      <w:pPr>
        <w:spacing w:after="0" w:line="136" w:lineRule="exact"/>
        <w:rPr>
          <w:sz w:val="20"/>
          <w:szCs w:val="20"/>
          <w:color w:val="auto"/>
        </w:rPr>
      </w:pPr>
    </w:p>
    <w:p>
      <w:pPr>
        <w:ind w:right="240" w:firstLine="391"/>
        <w:spacing w:after="0" w:line="271" w:lineRule="auto"/>
        <w:rPr>
          <w:sz w:val="20"/>
          <w:szCs w:val="20"/>
          <w:color w:val="auto"/>
        </w:rPr>
      </w:pPr>
      <w:r>
        <w:rPr>
          <w:rFonts w:ascii="Arial" w:cs="Arial" w:eastAsia="Arial" w:hAnsi="Arial"/>
          <w:sz w:val="15"/>
          <w:szCs w:val="15"/>
          <w:color w:val="auto"/>
        </w:rPr>
        <w:t>At December 31, 2022, our variable rate debt consisted of BPLP’s $1.5 billion revolving facility (the “Revolving Facility”) and BPLP’s $730.0 million 2022 Unsecured Term Loan. The Revolving Facility and 2022 Unsecured Term Loan had approximately $730.0 million outstanding as of December 31, 2022 (See Note 16 to the Consolidated Financial Statements). For a summary of our consolidated debt as of December 31, 2022 and 2021 refer to the heading “</w:t>
      </w:r>
      <w:r>
        <w:rPr>
          <w:rFonts w:ascii="Arial" w:cs="Arial" w:eastAsia="Arial" w:hAnsi="Arial"/>
          <w:sz w:val="15"/>
          <w:szCs w:val="15"/>
          <w:i w:val="1"/>
          <w:iCs w:val="1"/>
          <w:color w:val="auto"/>
        </w:rPr>
        <w:t>Liquidity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Capital Resources—Debt Financing” </w:t>
      </w:r>
      <w:r>
        <w:rPr>
          <w:rFonts w:ascii="Arial" w:cs="Arial" w:eastAsia="Arial" w:hAnsi="Arial"/>
          <w:sz w:val="15"/>
          <w:szCs w:val="15"/>
          <w:color w:val="auto"/>
        </w:rPr>
        <w:t>within “</w:t>
      </w:r>
      <w:r>
        <w:rPr>
          <w:rFonts w:ascii="Arial" w:cs="Arial" w:eastAsia="Arial" w:hAnsi="Arial"/>
          <w:sz w:val="15"/>
          <w:szCs w:val="15"/>
          <w:i w:val="1"/>
          <w:iCs w:val="1"/>
          <w:color w:val="auto"/>
        </w:rPr>
        <w:t>Item 7—Management’s Discussion and Analysis of Financial Condition and Results of Operations.</w:t>
      </w:r>
      <w:r>
        <w:rPr>
          <w:rFonts w:ascii="Arial" w:cs="Arial" w:eastAsia="Arial" w:hAnsi="Arial"/>
          <w:sz w:val="15"/>
          <w:szCs w:val="15"/>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Noncontrolling Interests in Property Partnerships</w:t>
      </w:r>
    </w:p>
    <w:p>
      <w:pPr>
        <w:spacing w:after="0" w:line="95" w:lineRule="exact"/>
        <w:rPr>
          <w:sz w:val="20"/>
          <w:szCs w:val="20"/>
          <w:color w:val="auto"/>
        </w:rPr>
      </w:pPr>
    </w:p>
    <w:p>
      <w:pPr>
        <w:ind w:right="360" w:firstLine="391"/>
        <w:spacing w:after="0" w:line="253" w:lineRule="auto"/>
        <w:rPr>
          <w:sz w:val="20"/>
          <w:szCs w:val="20"/>
          <w:color w:val="auto"/>
        </w:rPr>
      </w:pPr>
      <w:r>
        <w:rPr>
          <w:rFonts w:ascii="Arial" w:cs="Arial" w:eastAsia="Arial" w:hAnsi="Arial"/>
          <w:sz w:val="16"/>
          <w:szCs w:val="16"/>
          <w:color w:val="auto"/>
        </w:rPr>
        <w:t>Noncontrolling interests in property partnerships increased by approximately $4.1 million for the year ended December 31, 2022 compared to 2021, as detailed below.</w:t>
      </w:r>
    </w:p>
    <w:p>
      <w:pPr>
        <w:sectPr>
          <w:pgSz w:w="11900" w:h="16838" w:orient="portrait"/>
          <w:cols w:equalWidth="0" w:num="1">
            <w:col w:w="11240"/>
          </w:cols>
          <w:pgMar w:left="320" w:top="28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26605" cy="127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6605" cy="1276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20955</wp:posOffset>
            </wp:positionV>
            <wp:extent cx="397319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73195" cy="7620"/>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767 Fifth Avenue (the General Motors Building)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Times Square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wp:posOffset>
            </wp:positionV>
            <wp:extent cx="7126605" cy="127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6605"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601 Lexington Avenue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 Federal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wp:posOffset>
            </wp:positionV>
            <wp:extent cx="7126605" cy="127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6605" cy="1276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Atlantic Wharf Office Building</w:t>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Noncontrolling Interest—Common Units of the Operating Partnership</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Noncontrolling Interests in Property Partnerships for the year ended</w:t>
      </w:r>
    </w:p>
    <w:p>
      <w:pPr>
        <w:jc w:val="center"/>
        <w:ind w:right="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1007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00705" cy="762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Change</w:t>
            </w:r>
          </w:p>
        </w:tc>
      </w:tr>
      <w:tr>
        <w:trPr>
          <w:trHeight w:val="183"/>
        </w:trPr>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1"/>
        </w:trPr>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12,031</w:t>
            </w:r>
          </w:p>
        </w:tc>
        <w:tc>
          <w:tcPr>
            <w:tcW w:w="24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11,594</w:t>
            </w:r>
          </w:p>
        </w:tc>
        <w:tc>
          <w:tcPr>
            <w:tcW w:w="24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437</w:t>
            </w:r>
          </w:p>
        </w:tc>
      </w:tr>
      <w:tr>
        <w:trPr>
          <w:trHeight w:val="201"/>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20,051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1,006</w:t>
            </w:r>
          </w:p>
        </w:tc>
      </w:tr>
      <w:tr>
        <w:trPr>
          <w:trHeight w:val="201"/>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13,865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14,897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01"/>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13,341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12,158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1,183</w:t>
            </w:r>
          </w:p>
        </w:tc>
      </w:tr>
      <w:tr>
        <w:trPr>
          <w:trHeight w:val="202"/>
        </w:trPr>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12,106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2,457</w:t>
            </w:r>
          </w:p>
        </w:tc>
      </w:tr>
      <w:tr>
        <w:trPr>
          <w:trHeight w:val="193"/>
        </w:trPr>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74,857</w:t>
            </w:r>
          </w:p>
        </w:tc>
        <w:tc>
          <w:tcPr>
            <w:tcW w:w="240" w:type="dxa"/>
            <w:vAlign w:val="bottom"/>
          </w:tcPr>
          <w:p>
            <w:pPr>
              <w:spacing w:after="0"/>
              <w:rPr>
                <w:sz w:val="16"/>
                <w:szCs w:val="16"/>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70,806</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4,051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67" w:lineRule="exact"/>
        <w:rPr>
          <w:sz w:val="20"/>
          <w:szCs w:val="20"/>
          <w:color w:val="auto"/>
        </w:rPr>
      </w:pPr>
    </w:p>
    <w:p>
      <w:pPr>
        <w:sectPr>
          <w:pgSz w:w="11900" w:h="16838" w:orient="portrait"/>
          <w:cols w:equalWidth="0" w:num="2">
            <w:col w:w="5640" w:space="720"/>
            <w:col w:w="4880"/>
          </w:cols>
          <w:pgMar w:left="320" w:top="281" w:right="3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For BXP, noncontrolling interest—common units of the Operating Partnership increased by approximately $40.8 million for the year ended December 31,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2022 compared to 2021 due primarily to an increase in allocable income, which was the result of recognizing a greater gain on sales of real estate amount during</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2022. Due to our ownership structure, there is no corresponding line item on BPLP’s financial statements.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Preferred Stock/Unit Redemption Charge</w:t>
      </w:r>
    </w:p>
    <w:p>
      <w:pPr>
        <w:spacing w:after="0" w:line="107"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On March 2, 2021, BXP issued a redemption notice for 80,000 shares of its 5.25% Series B Cumulative Redeemable Preferred Stock (“Series B Preferred Stock”), which constituted all of the outstanding Series B Preferred Stock, and the corresponding depositary shares, each representing 1/100th of a share of Series B Preferred Stock (the “Depositary Shares”). In connection with the redemption of the Series B Preferred Stock, all of the Series B Preferred Units, which had terms and preferences generally mirroring those of the Series B Preferred Stock, were redeemed by BPLP. The redemption price per share of Series B Preferred Stock was $2,500, plus all accrued and unpaid dividends to, but not including, the redemption date, totaling $2,516.41 per share. On March 31, 2021, we transferred the full redemption price for all outstanding shares of Series B Preferred Stock of approximately $201.3 million, including approximately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General</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liquidity needs for the next twelve months and beyond are to:</w:t>
      </w:r>
    </w:p>
    <w:p>
      <w:pPr>
        <w:spacing w:after="0" w:line="136" w:lineRule="exact"/>
        <w:rPr>
          <w:sz w:val="20"/>
          <w:szCs w:val="20"/>
          <w:color w:val="auto"/>
        </w:rPr>
      </w:pPr>
    </w:p>
    <w:p>
      <w:pPr>
        <w:ind w:left="700" w:hanging="279"/>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fund normal recurring expenses;</w:t>
      </w:r>
    </w:p>
    <w:p>
      <w:pPr>
        <w:spacing w:after="0" w:line="53" w:lineRule="exact"/>
        <w:rPr>
          <w:rFonts w:ascii="Arial" w:cs="Arial" w:eastAsia="Arial" w:hAnsi="Arial"/>
          <w:sz w:val="16"/>
          <w:szCs w:val="16"/>
          <w:color w:val="auto"/>
        </w:rPr>
      </w:pPr>
    </w:p>
    <w:p>
      <w:pPr>
        <w:ind w:left="700" w:right="60" w:hanging="279"/>
        <w:spacing w:after="0" w:line="253" w:lineRule="auto"/>
        <w:tabs>
          <w:tab w:leader="none" w:pos="696"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meet debt service and principal repayment obligations and balloon payments on maturing debt, Including the $500 million of 3.125% unsecured senior notes maturing September 1, 2023;</w:t>
      </w:r>
    </w:p>
    <w:p>
      <w:pPr>
        <w:spacing w:after="0" w:line="38" w:lineRule="exact"/>
        <w:rPr>
          <w:rFonts w:ascii="Arial" w:cs="Arial" w:eastAsia="Arial" w:hAnsi="Arial"/>
          <w:sz w:val="16"/>
          <w:szCs w:val="16"/>
          <w:color w:val="auto"/>
        </w:rPr>
      </w:pPr>
    </w:p>
    <w:p>
      <w:pPr>
        <w:ind w:left="700" w:hanging="279"/>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fund development and redevelopment costs;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fund capital expenditures, including major renovations, tenant improvements and leasing costs;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fund pending and possible acquisitions of properties, either directly or indirectly through the acquisition of equity interests therein; and</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make the minimum distribution required to enable BXP to maintain its REIT qualification under the Internal Revenue Code of 1986, as amended.</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expect to satisfy these needs using one or more of the following:</w:t>
      </w:r>
    </w:p>
    <w:p>
      <w:pPr>
        <w:spacing w:after="0" w:line="124" w:lineRule="exact"/>
        <w:rPr>
          <w:sz w:val="20"/>
          <w:szCs w:val="20"/>
          <w:color w:val="auto"/>
        </w:rPr>
      </w:pPr>
    </w:p>
    <w:p>
      <w:pPr>
        <w:ind w:left="700" w:hanging="279"/>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cash flow from operations;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distribution of cash flows from joint ventures;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cash and cash equivalent balances;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borrowings under BPLP’s Revolving Facility, unsecured term loans, short-term bridge facilities and construction loans;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long-term secured and unsecured indebtedness (including unsecured exchangeable indebtedness);</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sales of real estate and interests in joint ventures owning real estate;</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private equity sources, including through our Strategic Capital Program (“SCP”) with large institutional investors; and</w:t>
      </w:r>
    </w:p>
    <w:p>
      <w:pPr>
        <w:spacing w:after="0" w:line="53" w:lineRule="exact"/>
        <w:rPr>
          <w:rFonts w:ascii="Arial" w:cs="Arial" w:eastAsia="Arial" w:hAnsi="Arial"/>
          <w:sz w:val="16"/>
          <w:szCs w:val="16"/>
          <w:color w:val="auto"/>
        </w:rPr>
      </w:pPr>
    </w:p>
    <w:p>
      <w:pPr>
        <w:ind w:left="700" w:hanging="279"/>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issuances of BXP equity securities and/or preferred or common units of partnership interests in BPLP.</w:t>
      </w:r>
    </w:p>
    <w:p>
      <w:pPr>
        <w:spacing w:after="0" w:line="231" w:lineRule="exact"/>
        <w:rPr>
          <w:sz w:val="20"/>
          <w:szCs w:val="20"/>
          <w:color w:val="auto"/>
        </w:rPr>
      </w:pPr>
    </w:p>
    <w:p>
      <w:pPr>
        <w:ind w:firstLine="356"/>
        <w:spacing w:after="0" w:line="248" w:lineRule="auto"/>
        <w:rPr>
          <w:sz w:val="20"/>
          <w:szCs w:val="20"/>
          <w:color w:val="auto"/>
        </w:rPr>
      </w:pPr>
      <w:r>
        <w:rPr>
          <w:rFonts w:ascii="Arial" w:cs="Arial" w:eastAsia="Arial" w:hAnsi="Arial"/>
          <w:sz w:val="16"/>
          <w:szCs w:val="16"/>
          <w:color w:val="auto"/>
        </w:rPr>
        <w:t>We draw on multiple financing sources to fund our long-term capital needs. We expect to fund our current development/redevelopment properties primarily with our available cash balances, construction loans, unsecured term loans, proceeds from asset sales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our available cash and access to cost effective capital at the given time.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on properties under construction/redevelopment as of December 31, 2022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1"/>
                <w:szCs w:val="11"/>
                <w:b w:val="1"/>
                <w:bCs w:val="1"/>
                <w:color w:val="auto"/>
              </w:rPr>
              <w:t>Financings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Estimated</w:t>
            </w:r>
          </w:p>
        </w:tc>
        <w:tc>
          <w:tcPr>
            <w:tcW w:w="80" w:type="dxa"/>
            <w:vAlign w:val="bottom"/>
          </w:tcPr>
          <w:p>
            <w:pPr>
              <w:spacing w:after="0"/>
              <w:rPr>
                <w:sz w:val="8"/>
                <w:szCs w:val="8"/>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8"/>
                <w:szCs w:val="8"/>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Outstanding at</w:t>
            </w:r>
          </w:p>
        </w:tc>
        <w:tc>
          <w:tcPr>
            <w:tcW w:w="100" w:type="dxa"/>
            <w:vAlign w:val="bottom"/>
          </w:tcPr>
          <w:p>
            <w:pPr>
              <w:spacing w:after="0"/>
              <w:rPr>
                <w:sz w:val="8"/>
                <w:szCs w:val="8"/>
                <w:color w:val="auto"/>
              </w:rPr>
            </w:pPr>
          </w:p>
        </w:tc>
        <w:tc>
          <w:tcPr>
            <w:tcW w:w="74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Estimated</w:t>
            </w: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rPr>
              <w:t>Construction/Redevelopment</w:t>
            </w:r>
          </w:p>
        </w:tc>
        <w:tc>
          <w:tcPr>
            <w:tcW w:w="12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Estimated</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 of</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Estimated</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Investment to</w:t>
            </w:r>
          </w:p>
        </w:tc>
        <w:tc>
          <w:tcPr>
            <w:tcW w:w="80" w:type="dxa"/>
            <w:vAlign w:val="bottom"/>
          </w:tcPr>
          <w:p>
            <w:pPr>
              <w:spacing w:after="0"/>
              <w:rPr>
                <w:sz w:val="9"/>
                <w:szCs w:val="9"/>
                <w:color w:val="auto"/>
              </w:rPr>
            </w:pPr>
          </w:p>
        </w:tc>
        <w:tc>
          <w:tcPr>
            <w:tcW w:w="76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40" w:type="dxa"/>
            <w:vAlign w:val="bottom"/>
            <w:gridSpan w:val="3"/>
          </w:tcPr>
          <w:p>
            <w:pPr>
              <w:jc w:val="center"/>
              <w:ind w:right="80"/>
              <w:spacing w:after="0" w:line="107" w:lineRule="exact"/>
              <w:rPr>
                <w:sz w:val="20"/>
                <w:szCs w:val="20"/>
                <w:color w:val="auto"/>
              </w:rPr>
            </w:pPr>
            <w:r>
              <w:rPr>
                <w:rFonts w:ascii="Arial" w:cs="Arial" w:eastAsia="Arial" w:hAnsi="Arial"/>
                <w:sz w:val="11"/>
                <w:szCs w:val="11"/>
                <w:b w:val="1"/>
                <w:bCs w:val="1"/>
                <w:color w:val="auto"/>
              </w:rPr>
              <w:t>Future Equity</w:t>
            </w:r>
          </w:p>
        </w:tc>
        <w:tc>
          <w:tcPr>
            <w:tcW w:w="78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Percentage</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5"/>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9"/>
              </w:rPr>
              <w:t>Investment</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Available</w:t>
            </w:r>
          </w:p>
        </w:tc>
        <w:tc>
          <w:tcPr>
            <w:tcW w:w="1120" w:type="dxa"/>
            <w:vAlign w:val="bottom"/>
            <w:gridSpan w:val="3"/>
          </w:tcPr>
          <w:p>
            <w:pPr>
              <w:ind w:left="20"/>
              <w:spacing w:after="0" w:line="107" w:lineRule="exact"/>
              <w:rPr>
                <w:sz w:val="20"/>
                <w:szCs w:val="20"/>
                <w:color w:val="auto"/>
              </w:rPr>
            </w:pPr>
            <w:r>
              <w:rPr>
                <w:rFonts w:ascii="Arial" w:cs="Arial" w:eastAsia="Arial" w:hAnsi="Arial"/>
                <w:sz w:val="11"/>
                <w:szCs w:val="11"/>
                <w:b w:val="1"/>
                <w:bCs w:val="1"/>
                <w:color w:val="auto"/>
              </w:rPr>
              <w:t>December 31, 2022</w:t>
            </w:r>
          </w:p>
        </w:tc>
        <w:tc>
          <w:tcPr>
            <w:tcW w:w="840" w:type="dxa"/>
            <w:vAlign w:val="bottom"/>
            <w:gridSpan w:val="3"/>
          </w:tcPr>
          <w:p>
            <w:pPr>
              <w:jc w:val="center"/>
              <w:ind w:right="80"/>
              <w:spacing w:after="0" w:line="107" w:lineRule="exact"/>
              <w:rPr>
                <w:sz w:val="20"/>
                <w:szCs w:val="20"/>
                <w:color w:val="auto"/>
              </w:rPr>
            </w:pPr>
            <w:r>
              <w:rPr>
                <w:rFonts w:ascii="Arial" w:cs="Arial" w:eastAsia="Arial" w:hAnsi="Arial"/>
                <w:sz w:val="11"/>
                <w:szCs w:val="11"/>
                <w:b w:val="1"/>
                <w:bCs w:val="1"/>
                <w:color w:val="auto"/>
              </w:rPr>
              <w:t>Requirement</w:t>
            </w: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1"/>
                <w:szCs w:val="11"/>
                <w:b w:val="1"/>
                <w:bCs w:val="1"/>
                <w:color w:val="auto"/>
                <w:w w:val="99"/>
              </w:rPr>
              <w:t>Properties</w:t>
            </w:r>
          </w:p>
        </w:tc>
        <w:tc>
          <w:tcPr>
            <w:tcW w:w="1260" w:type="dxa"/>
            <w:vAlign w:val="bottom"/>
            <w:gridSpan w:val="2"/>
          </w:tcPr>
          <w:p>
            <w:pPr>
              <w:ind w:left="140"/>
              <w:spacing w:after="0"/>
              <w:rPr>
                <w:sz w:val="20"/>
                <w:szCs w:val="20"/>
                <w:color w:val="auto"/>
              </w:rPr>
            </w:pPr>
            <w:r>
              <w:rPr>
                <w:rFonts w:ascii="Arial" w:cs="Arial" w:eastAsia="Arial" w:hAnsi="Arial"/>
                <w:sz w:val="11"/>
                <w:szCs w:val="11"/>
                <w:b w:val="1"/>
                <w:bCs w:val="1"/>
                <w:color w:val="auto"/>
              </w:rPr>
              <w:t>Stabilization Date</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Location</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9"/>
              </w:rPr>
              <w:t>Buildings</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Square Feet</w:t>
            </w: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Date (1)(2)(3)</w:t>
            </w:r>
          </w:p>
        </w:tc>
        <w:tc>
          <w:tcPr>
            <w:tcW w:w="80" w:type="dxa"/>
            <w:vAlign w:val="bottom"/>
          </w:tcPr>
          <w:p>
            <w:pPr>
              <w:spacing w:after="0"/>
              <w:rPr>
                <w:sz w:val="13"/>
                <w:szCs w:val="13"/>
                <w:color w:val="auto"/>
              </w:rPr>
            </w:pPr>
          </w:p>
        </w:tc>
        <w:tc>
          <w:tcPr>
            <w:tcW w:w="680" w:type="dxa"/>
            <w:vAlign w:val="bottom"/>
          </w:tcPr>
          <w:p>
            <w:pPr>
              <w:jc w:val="center"/>
              <w:ind w:right="22"/>
              <w:spacing w:after="0"/>
              <w:rPr>
                <w:sz w:val="20"/>
                <w:szCs w:val="20"/>
                <w:color w:val="auto"/>
              </w:rPr>
            </w:pPr>
            <w:r>
              <w:rPr>
                <w:rFonts w:ascii="Arial" w:cs="Arial" w:eastAsia="Arial" w:hAnsi="Arial"/>
                <w:sz w:val="11"/>
                <w:szCs w:val="11"/>
                <w:b w:val="1"/>
                <w:bCs w:val="1"/>
                <w:color w:val="auto"/>
              </w:rPr>
              <w:t>(1)(2)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01"/>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1"/>
              <w:spacing w:after="0"/>
              <w:rPr>
                <w:sz w:val="20"/>
                <w:szCs w:val="20"/>
                <w:color w:val="auto"/>
              </w:rPr>
            </w:pPr>
            <w:r>
              <w:rPr>
                <w:rFonts w:ascii="Arial" w:cs="Arial" w:eastAsia="Arial" w:hAnsi="Arial"/>
                <w:sz w:val="11"/>
                <w:szCs w:val="11"/>
                <w:b w:val="1"/>
                <w:bCs w:val="1"/>
                <w:color w:val="auto"/>
                <w:w w:val="99"/>
              </w:rPr>
              <w:t>(1)(2)(4)</w:t>
            </w:r>
          </w:p>
        </w:tc>
        <w:tc>
          <w:tcPr>
            <w:tcW w:w="80" w:type="dxa"/>
            <w:vAlign w:val="bottom"/>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1"/>
                <w:szCs w:val="11"/>
                <w:b w:val="1"/>
                <w:bCs w:val="1"/>
                <w:color w:val="auto"/>
              </w:rPr>
              <w:t>Leased (5)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4"/>
          </w:tcPr>
          <w:p>
            <w:pPr>
              <w:spacing w:after="0" w:line="130" w:lineRule="exact"/>
              <w:rPr>
                <w:sz w:val="20"/>
                <w:szCs w:val="20"/>
                <w:color w:val="auto"/>
              </w:rPr>
            </w:pPr>
            <w:r>
              <w:rPr>
                <w:rFonts w:ascii="Arial" w:cs="Arial" w:eastAsia="Arial" w:hAnsi="Arial"/>
                <w:sz w:val="12"/>
                <w:szCs w:val="12"/>
                <w:b w:val="1"/>
                <w:bCs w:val="1"/>
                <w:color w:val="auto"/>
              </w:rPr>
              <w:t>Office</w:t>
            </w:r>
          </w:p>
        </w:tc>
        <w:tc>
          <w:tcPr>
            <w:tcW w:w="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140 Kendrick - Building A</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(Redevelopment)</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 Quarter, 2023</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Needham, MA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104,000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7,995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26,600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18,605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5"/>
          </w:tcPr>
          <w:p>
            <w:pPr>
              <w:spacing w:after="0"/>
              <w:rPr>
                <w:sz w:val="20"/>
                <w:szCs w:val="20"/>
                <w:color w:val="auto"/>
              </w:rPr>
            </w:pPr>
            <w:r>
              <w:rPr>
                <w:rFonts w:ascii="Arial" w:cs="Arial" w:eastAsia="Arial" w:hAnsi="Arial"/>
                <w:sz w:val="12"/>
                <w:szCs w:val="12"/>
                <w:color w:val="auto"/>
              </w:rPr>
              <w:t>2100 Pennsylvania Avenue</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Third Quarter, 2024</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Washington, DC</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480,000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315,966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356,100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40,134</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84 %</w:t>
            </w:r>
          </w:p>
        </w:tc>
        <w:tc>
          <w:tcPr>
            <w:tcW w:w="300" w:type="dxa"/>
            <w:vAlign w:val="bottom"/>
          </w:tcPr>
          <w:p>
            <w:pPr>
              <w:ind w:lef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7" w:lineRule="exact"/>
              <w:rPr>
                <w:sz w:val="20"/>
                <w:szCs w:val="20"/>
                <w:color w:val="auto"/>
              </w:rPr>
            </w:pPr>
            <w:r>
              <w:rPr>
                <w:rFonts w:ascii="Arial" w:cs="Arial" w:eastAsia="Arial" w:hAnsi="Arial"/>
                <w:sz w:val="12"/>
                <w:szCs w:val="12"/>
                <w:color w:val="auto"/>
              </w:rPr>
              <w:t>360 Park Avenue South (42%</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First Quarter, 2025</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New York, NY</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450,000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203,545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219,000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92,774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88,164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10,845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5"/>
          </w:tcPr>
          <w:p>
            <w:pPr>
              <w:spacing w:after="0"/>
              <w:rPr>
                <w:sz w:val="20"/>
                <w:szCs w:val="20"/>
                <w:color w:val="auto"/>
              </w:rPr>
            </w:pPr>
            <w:r>
              <w:rPr>
                <w:rFonts w:ascii="Arial" w:cs="Arial" w:eastAsia="Arial" w:hAnsi="Arial"/>
                <w:sz w:val="12"/>
                <w:szCs w:val="12"/>
                <w:color w:val="auto"/>
              </w:rPr>
              <w:t>Reston Next Office Phase II</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Second Quarter, 2025</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Reston, VA</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90,000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22,954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61,000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38,046</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7" w:lineRule="exact"/>
              <w:rPr>
                <w:sz w:val="20"/>
                <w:szCs w:val="20"/>
                <w:color w:val="auto"/>
              </w:rPr>
            </w:pPr>
            <w:r>
              <w:rPr>
                <w:rFonts w:ascii="Arial" w:cs="Arial" w:eastAsia="Arial" w:hAnsi="Arial"/>
                <w:sz w:val="12"/>
                <w:szCs w:val="12"/>
                <w:color w:val="auto"/>
              </w:rPr>
              <w:t>Platform 16 Building A (55%</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Fourth Quarter, 2026</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San Jose, CA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389,500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85,471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231,900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146,429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40" w:type="dxa"/>
            <w:vAlign w:val="bottom"/>
            <w:gridSpan w:val="5"/>
          </w:tcPr>
          <w:p>
            <w:pPr>
              <w:ind w:left="140"/>
              <w:spacing w:after="0" w:line="99" w:lineRule="exact"/>
              <w:rPr>
                <w:sz w:val="20"/>
                <w:szCs w:val="20"/>
                <w:color w:val="auto"/>
              </w:rPr>
            </w:pPr>
            <w:r>
              <w:rPr>
                <w:rFonts w:ascii="Arial" w:cs="Arial" w:eastAsia="Arial" w:hAnsi="Arial"/>
                <w:sz w:val="11"/>
                <w:szCs w:val="11"/>
                <w:b w:val="1"/>
                <w:bCs w:val="1"/>
                <w:color w:val="auto"/>
              </w:rPr>
              <w:t>Total Office Properties under</w:t>
            </w: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gridSpan w:val="5"/>
          </w:tcPr>
          <w:p>
            <w:pPr>
              <w:ind w:left="140"/>
              <w:spacing w:after="0"/>
              <w:rPr>
                <w:sz w:val="20"/>
                <w:szCs w:val="20"/>
                <w:color w:val="auto"/>
              </w:rPr>
            </w:pPr>
            <w:r>
              <w:rPr>
                <w:rFonts w:ascii="Arial" w:cs="Arial" w:eastAsia="Arial" w:hAnsi="Arial"/>
                <w:sz w:val="12"/>
                <w:szCs w:val="12"/>
                <w:b w:val="1"/>
                <w:bCs w:val="1"/>
                <w:color w:val="auto"/>
              </w:rPr>
              <w:t>Construction/Redevelopment</w:t>
            </w:r>
          </w:p>
        </w:tc>
        <w:tc>
          <w:tcPr>
            <w:tcW w:w="1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1,513,500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635,931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894,600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92,774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88,164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254,059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34 %</w:t>
            </w: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Laboratory/Life Sciences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20" w:type="dxa"/>
            <w:vAlign w:val="bottom"/>
            <w:tcBorders>
              <w:top w:val="single" w:sz="8" w:color="auto"/>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South San</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751 Gateway (49% 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Second Quarter, 2024</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Francisco, CA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231,000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87,847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127,600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39,753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5"/>
          </w:tcPr>
          <w:p>
            <w:pPr>
              <w:spacing w:after="0"/>
              <w:rPr>
                <w:sz w:val="20"/>
                <w:szCs w:val="20"/>
                <w:color w:val="auto"/>
              </w:rPr>
            </w:pPr>
            <w:r>
              <w:rPr>
                <w:rFonts w:ascii="Arial" w:cs="Arial" w:eastAsia="Arial" w:hAnsi="Arial"/>
                <w:sz w:val="12"/>
                <w:szCs w:val="12"/>
                <w:color w:val="auto"/>
              </w:rPr>
              <w:t>103 CityPoint</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Third Quarter, 2024</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Waltham, MA</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113,000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44,678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115,100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70,422</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7" w:lineRule="exact"/>
              <w:rPr>
                <w:sz w:val="20"/>
                <w:szCs w:val="20"/>
                <w:color w:val="auto"/>
              </w:rPr>
            </w:pPr>
            <w:r>
              <w:rPr>
                <w:rFonts w:ascii="Arial" w:cs="Arial" w:eastAsia="Arial" w:hAnsi="Arial"/>
                <w:sz w:val="12"/>
                <w:szCs w:val="12"/>
                <w:color w:val="auto"/>
              </w:rPr>
              <w:t>190 CityPoint (formerly 180</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CityPoint)</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Fourth Quarter, 2024</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Waltham, MA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329,000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143,389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274,700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131,311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2"/>
                <w:szCs w:val="12"/>
                <w:color w:val="auto"/>
              </w:rPr>
              <w:t>105 Carnegie Center</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color w:val="auto"/>
              </w:rPr>
              <w:t>(Redevelopment)</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First Quarter, 2025</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Princeton, NJ</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73,000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631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40,600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39,969</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7" w:lineRule="exact"/>
              <w:rPr>
                <w:sz w:val="20"/>
                <w:szCs w:val="20"/>
                <w:color w:val="auto"/>
              </w:rPr>
            </w:pPr>
            <w:r>
              <w:rPr>
                <w:rFonts w:ascii="Arial" w:cs="Arial" w:eastAsia="Arial" w:hAnsi="Arial"/>
                <w:sz w:val="12"/>
                <w:szCs w:val="12"/>
                <w:color w:val="auto"/>
              </w:rPr>
              <w:t>651 Gateway (50% ownership)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South San</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(Redevelopment)</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Fourth Quarter, 2025</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Francisco, CA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327,000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44,648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146,500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101,852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00" w:type="dxa"/>
            <w:vAlign w:val="bottom"/>
            <w:gridSpan w:val="7"/>
          </w:tcPr>
          <w:p>
            <w:pPr>
              <w:ind w:left="140"/>
              <w:spacing w:after="0" w:line="99" w:lineRule="exact"/>
              <w:rPr>
                <w:sz w:val="20"/>
                <w:szCs w:val="20"/>
                <w:color w:val="auto"/>
              </w:rPr>
            </w:pPr>
            <w:r>
              <w:rPr>
                <w:rFonts w:ascii="Arial" w:cs="Arial" w:eastAsia="Arial" w:hAnsi="Arial"/>
                <w:sz w:val="11"/>
                <w:szCs w:val="11"/>
                <w:b w:val="1"/>
                <w:bCs w:val="1"/>
                <w:color w:val="auto"/>
              </w:rPr>
              <w:t>Total Laboratory/Life Sciences Properties under</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Construction/Redevelopment</w:t>
            </w: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1,073,000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321,193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704,500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383,307</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37 %</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Residential</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Reston Next Residential (508 units)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(20% 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Second Quarter, 2026</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Reston, VA</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417,000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11,451</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47,700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28,000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3,037</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11,286</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Arial" w:cs="Arial" w:eastAsia="Arial" w:hAnsi="Arial"/>
                <w:sz w:val="12"/>
                <w:szCs w:val="12"/>
                <w:b w:val="1"/>
                <w:bCs w:val="1"/>
                <w:color w:val="auto"/>
              </w:rPr>
              <w:t>Total Residential Properties under Construction</w:t>
            </w:r>
          </w:p>
        </w:tc>
        <w:tc>
          <w:tcPr>
            <w:tcW w:w="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417,000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11,451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47,700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3,037</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11,286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line="130" w:lineRule="exact"/>
              <w:rPr>
                <w:sz w:val="20"/>
                <w:szCs w:val="20"/>
                <w:color w:val="auto"/>
              </w:rPr>
            </w:pPr>
            <w:r>
              <w:rPr>
                <w:rFonts w:ascii="Arial" w:cs="Arial" w:eastAsia="Arial" w:hAnsi="Arial"/>
                <w:sz w:val="12"/>
                <w:szCs w:val="12"/>
                <w:b w:val="1"/>
                <w:bCs w:val="1"/>
                <w:color w:val="auto"/>
                <w:w w:val="85"/>
              </w:rPr>
              <w:t>Retail</w:t>
            </w:r>
          </w:p>
        </w:tc>
        <w:tc>
          <w:tcPr>
            <w:tcW w:w="17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760 Boylston Street</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(Redevelopment)</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Second Quarter, 2024</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Boston, MA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43,800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40,729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5"/>
          </w:tcPr>
          <w:p>
            <w:pPr>
              <w:spacing w:after="0"/>
              <w:rPr>
                <w:sz w:val="20"/>
                <w:szCs w:val="20"/>
                <w:color w:val="auto"/>
              </w:rPr>
            </w:pPr>
            <w:r>
              <w:rPr>
                <w:rFonts w:ascii="Arial" w:cs="Arial" w:eastAsia="Arial" w:hAnsi="Arial"/>
                <w:sz w:val="12"/>
                <w:szCs w:val="12"/>
                <w:color w:val="auto"/>
              </w:rPr>
              <w:t>Reston Next Retail</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Fourth Quarter, 2025</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Reston, VA</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33,000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17,198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26,600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9,402</w:t>
            </w:r>
          </w:p>
        </w:tc>
        <w:tc>
          <w:tcPr>
            <w:tcW w:w="80" w:type="dxa"/>
            <w:vAlign w:val="bottom"/>
          </w:tcPr>
          <w:p>
            <w:pPr>
              <w:spacing w:after="0"/>
              <w:rPr>
                <w:sz w:val="13"/>
                <w:szCs w:val="13"/>
                <w:color w:val="auto"/>
              </w:rPr>
            </w:pPr>
          </w:p>
        </w:tc>
        <w:tc>
          <w:tcPr>
            <w:tcW w:w="1080" w:type="dxa"/>
            <w:vAlign w:val="bottom"/>
            <w:gridSpan w:val="2"/>
          </w:tcPr>
          <w:p>
            <w:pPr>
              <w:ind w:left="520"/>
              <w:spacing w:after="0"/>
              <w:rPr>
                <w:sz w:val="20"/>
                <w:szCs w:val="20"/>
                <w:color w:val="auto"/>
              </w:rPr>
            </w:pPr>
            <w:r>
              <w:rPr>
                <w:rFonts w:ascii="Arial" w:cs="Arial" w:eastAsia="Arial" w:hAnsi="Arial"/>
                <w:sz w:val="11"/>
                <w:szCs w:val="11"/>
                <w:color w:val="auto"/>
              </w:rPr>
              <w:t>— % (9)</w:t>
            </w:r>
          </w:p>
        </w:tc>
        <w:tc>
          <w:tcPr>
            <w:tcW w:w="0" w:type="dxa"/>
            <w:vAlign w:val="bottom"/>
          </w:tcPr>
          <w:p>
            <w:pPr>
              <w:spacing w:after="0"/>
              <w:rPr>
                <w:sz w:val="1"/>
                <w:szCs w:val="1"/>
                <w:color w:val="auto"/>
              </w:rPr>
            </w:pPr>
          </w:p>
        </w:tc>
      </w:tr>
      <w:tr>
        <w:trPr>
          <w:trHeight w:val="105"/>
        </w:trPr>
        <w:tc>
          <w:tcPr>
            <w:tcW w:w="2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CCEEFF"/>
            </w:tcBorders>
            <w:gridSpan w:val="5"/>
            <w:shd w:val="clear" w:color="auto" w:fill="CCEEFF"/>
          </w:tcPr>
          <w:p>
            <w:pPr>
              <w:ind w:left="140"/>
              <w:spacing w:after="0" w:line="105" w:lineRule="exact"/>
              <w:rPr>
                <w:sz w:val="20"/>
                <w:szCs w:val="20"/>
                <w:color w:val="auto"/>
              </w:rPr>
            </w:pPr>
            <w:r>
              <w:rPr>
                <w:rFonts w:ascii="Arial" w:cs="Arial" w:eastAsia="Arial" w:hAnsi="Arial"/>
                <w:sz w:val="12"/>
                <w:szCs w:val="12"/>
                <w:b w:val="1"/>
                <w:bCs w:val="1"/>
                <w:color w:val="auto"/>
              </w:rPr>
              <w:t>Total Retail Properties under</w:t>
            </w:r>
          </w:p>
        </w:tc>
        <w:tc>
          <w:tcPr>
            <w:tcW w:w="1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2040" w:type="dxa"/>
            <w:vAlign w:val="bottom"/>
            <w:gridSpan w:val="5"/>
            <w:shd w:val="clear" w:color="auto" w:fill="CCEEFF"/>
          </w:tcPr>
          <w:p>
            <w:pPr>
              <w:ind w:left="140"/>
              <w:spacing w:after="0"/>
              <w:rPr>
                <w:sz w:val="20"/>
                <w:szCs w:val="20"/>
                <w:color w:val="auto"/>
              </w:rPr>
            </w:pPr>
            <w:r>
              <w:rPr>
                <w:rFonts w:ascii="Arial" w:cs="Arial" w:eastAsia="Arial" w:hAnsi="Arial"/>
                <w:sz w:val="12"/>
                <w:szCs w:val="12"/>
                <w:b w:val="1"/>
                <w:bCs w:val="1"/>
                <w:color w:val="auto"/>
              </w:rPr>
              <w:t>Construction/Redevelopment</w:t>
            </w: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151,000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20,269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70,400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50,131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78 %</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Other</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2"/>
                <w:szCs w:val="12"/>
                <w:color w:val="auto"/>
              </w:rPr>
              <w:t>View Boston Observatory at The</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gridSpan w:val="5"/>
          </w:tcPr>
          <w:p>
            <w:pPr>
              <w:ind w:left="140"/>
              <w:spacing w:after="0" w:line="119" w:lineRule="exact"/>
              <w:rPr>
                <w:sz w:val="20"/>
                <w:szCs w:val="20"/>
                <w:color w:val="auto"/>
              </w:rPr>
            </w:pPr>
            <w:r>
              <w:rPr>
                <w:rFonts w:ascii="Arial" w:cs="Arial" w:eastAsia="Arial" w:hAnsi="Arial"/>
                <w:sz w:val="12"/>
                <w:szCs w:val="12"/>
                <w:color w:val="auto"/>
              </w:rPr>
              <w:t>Prudential Center</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color w:val="auto"/>
              </w:rPr>
              <w:t>(Redevelopment)</w:t>
            </w: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N/A</w:t>
            </w: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Boston, MA</w:t>
            </w:r>
          </w:p>
        </w:tc>
        <w:tc>
          <w:tcPr>
            <w:tcW w:w="68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59,000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151,999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182,300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30,301</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N/A</w:t>
            </w:r>
          </w:p>
        </w:tc>
        <w:tc>
          <w:tcPr>
            <w:tcW w:w="300" w:type="dxa"/>
            <w:vAlign w:val="bottom"/>
          </w:tcPr>
          <w:p>
            <w:pPr>
              <w:ind w:left="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300" w:type="dxa"/>
            <w:vAlign w:val="bottom"/>
            <w:tcBorders>
              <w:top w:val="single" w:sz="8" w:color="CCEEFF"/>
              <w:bottom w:val="single" w:sz="8" w:color="CCEEFF"/>
            </w:tcBorders>
            <w:gridSpan w:val="7"/>
            <w:shd w:val="clear" w:color="auto" w:fill="CCEEFF"/>
          </w:tcPr>
          <w:p>
            <w:pPr>
              <w:ind w:left="140"/>
              <w:spacing w:after="0"/>
              <w:rPr>
                <w:sz w:val="20"/>
                <w:szCs w:val="20"/>
                <w:color w:val="auto"/>
              </w:rPr>
            </w:pPr>
            <w:r>
              <w:rPr>
                <w:rFonts w:ascii="Arial" w:cs="Arial" w:eastAsia="Arial" w:hAnsi="Arial"/>
                <w:sz w:val="12"/>
                <w:szCs w:val="12"/>
                <w:b w:val="1"/>
                <w:bCs w:val="1"/>
                <w:color w:val="auto"/>
              </w:rPr>
              <w:t>Total Properties under Construction/Redevelopment</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13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3,213,500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1,140,843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1,899,500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120,774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91,201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729,084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3" w:lineRule="exact"/>
        <w:rPr>
          <w:sz w:val="20"/>
          <w:szCs w:val="20"/>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our share.</w:t>
      </w:r>
    </w:p>
    <w:p>
      <w:pPr>
        <w:spacing w:after="0" w:line="4" w:lineRule="exact"/>
        <w:rPr>
          <w:rFonts w:ascii="Arial" w:cs="Arial" w:eastAsia="Arial" w:hAnsi="Arial"/>
          <w:sz w:val="13"/>
          <w:szCs w:val="13"/>
          <w:color w:val="auto"/>
        </w:rPr>
      </w:pPr>
    </w:p>
    <w:p>
      <w:pPr>
        <w:ind w:left="500" w:right="80" w:hanging="292"/>
        <w:spacing w:after="0" w:line="256" w:lineRule="auto"/>
        <w:tabs>
          <w:tab w:leader="none" w:pos="498" w:val="left"/>
        </w:tabs>
        <w:numPr>
          <w:ilvl w:val="0"/>
          <w:numId w:val="82"/>
        </w:numPr>
        <w:rPr>
          <w:rFonts w:ascii="Arial" w:cs="Arial" w:eastAsia="Arial" w:hAnsi="Arial"/>
          <w:sz w:val="13"/>
          <w:szCs w:val="13"/>
          <w:color w:val="auto"/>
        </w:rPr>
      </w:pPr>
      <w:r>
        <w:rPr>
          <w:rFonts w:ascii="Arial" w:cs="Arial" w:eastAsia="Arial" w:hAnsi="Arial"/>
          <w:sz w:val="13"/>
          <w:szCs w:val="13"/>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December 31, 2022.</w:t>
      </w:r>
    </w:p>
    <w:p>
      <w:pPr>
        <w:spacing w:after="0" w:line="1" w:lineRule="exact"/>
        <w:rPr>
          <w:rFonts w:ascii="Arial" w:cs="Arial" w:eastAsia="Arial" w:hAnsi="Arial"/>
          <w:sz w:val="13"/>
          <w:szCs w:val="13"/>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Includes approximately $76.9 million of unpaid but accrued construction costs and leasing commissions.</w:t>
      </w:r>
    </w:p>
    <w:p>
      <w:pPr>
        <w:spacing w:after="0" w:line="16" w:lineRule="exact"/>
        <w:rPr>
          <w:rFonts w:ascii="Arial" w:cs="Arial" w:eastAsia="Arial" w:hAnsi="Arial"/>
          <w:sz w:val="13"/>
          <w:szCs w:val="13"/>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Excludes approximately $76.9 million of unpaid but accrued construction costs and leasing commissions.</w:t>
      </w:r>
    </w:p>
    <w:p>
      <w:pPr>
        <w:spacing w:after="0" w:line="16" w:lineRule="exact"/>
        <w:rPr>
          <w:rFonts w:ascii="Arial" w:cs="Arial" w:eastAsia="Arial" w:hAnsi="Arial"/>
          <w:sz w:val="13"/>
          <w:szCs w:val="13"/>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percentage leased as of February 21, 2023, including leases with future commencement dates.</w:t>
      </w:r>
    </w:p>
    <w:p>
      <w:pPr>
        <w:spacing w:after="0" w:line="4" w:lineRule="exact"/>
        <w:rPr>
          <w:rFonts w:ascii="Arial" w:cs="Arial" w:eastAsia="Arial" w:hAnsi="Arial"/>
          <w:sz w:val="13"/>
          <w:szCs w:val="13"/>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property was 64% placed in-service as of December 31, 2022.</w:t>
      </w:r>
    </w:p>
    <w:p>
      <w:pPr>
        <w:spacing w:after="0" w:line="16" w:lineRule="exact"/>
        <w:rPr>
          <w:rFonts w:ascii="Arial" w:cs="Arial" w:eastAsia="Arial" w:hAnsi="Arial"/>
          <w:sz w:val="13"/>
          <w:szCs w:val="13"/>
          <w:color w:val="auto"/>
        </w:rPr>
      </w:pPr>
    </w:p>
    <w:p>
      <w:pPr>
        <w:ind w:left="500" w:hanging="292"/>
        <w:spacing w:after="0" w:line="260" w:lineRule="auto"/>
        <w:tabs>
          <w:tab w:leader="none" w:pos="498"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w:t>
      </w:r>
    </w:p>
    <w:p>
      <w:pPr>
        <w:jc w:val="both"/>
        <w:ind w:left="500" w:right="20" w:hanging="292"/>
        <w:spacing w:after="0" w:line="266" w:lineRule="auto"/>
        <w:tabs>
          <w:tab w:leader="none" w:pos="498" w:val="left"/>
        </w:tabs>
        <w:numPr>
          <w:ilvl w:val="0"/>
          <w:numId w:val="82"/>
        </w:numPr>
        <w:rPr>
          <w:rFonts w:ascii="Arial" w:cs="Arial" w:eastAsia="Arial" w:hAnsi="Arial"/>
          <w:sz w:val="13"/>
          <w:szCs w:val="13"/>
          <w:color w:val="auto"/>
        </w:rPr>
      </w:pPr>
      <w:r>
        <w:rPr>
          <w:rFonts w:ascii="Arial" w:cs="Arial" w:eastAsia="Arial" w:hAnsi="Arial"/>
          <w:sz w:val="13"/>
          <w:szCs w:val="13"/>
          <w:color w:val="auto"/>
        </w:rPr>
        <w:t>Estimated total investment represents the costs to complete Building A, a 389,500 square foot building, and Building A’s proportionate share of land and garage costs. In conjunction with the construction of Building A, garage and site work will be completed for Phase II, which will support approximately 700,000 square feet of development in two office buildings, budgeted to be an incremental $141 million.</w:t>
      </w:r>
    </w:p>
    <w:p>
      <w:pPr>
        <w:spacing w:after="0" w:line="12" w:lineRule="exact"/>
        <w:rPr>
          <w:rFonts w:ascii="Arial" w:cs="Arial" w:eastAsia="Arial" w:hAnsi="Arial"/>
          <w:sz w:val="13"/>
          <w:szCs w:val="13"/>
          <w:color w:val="auto"/>
        </w:rPr>
      </w:pPr>
    </w:p>
    <w:p>
      <w:pPr>
        <w:ind w:left="500" w:hanging="292"/>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Reston Next Retail was previously included within the Reston Next project.</w:t>
      </w:r>
    </w:p>
    <w:p>
      <w:pPr>
        <w:spacing w:after="0" w:line="40" w:lineRule="exact"/>
        <w:rPr>
          <w:rFonts w:ascii="Arial" w:cs="Arial" w:eastAsia="Arial" w:hAnsi="Arial"/>
          <w:sz w:val="13"/>
          <w:szCs w:val="13"/>
          <w:color w:val="auto"/>
        </w:rPr>
      </w:pPr>
    </w:p>
    <w:p>
      <w:pPr>
        <w:ind w:left="480" w:hanging="272"/>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We expect to place this project in-service and open to the public in the second quarter of 2023.</w:t>
      </w:r>
    </w:p>
    <w:p>
      <w:pPr>
        <w:spacing w:after="0" w:line="51" w:lineRule="exact"/>
        <w:rPr>
          <w:rFonts w:ascii="Arial" w:cs="Arial" w:eastAsia="Arial" w:hAnsi="Arial"/>
          <w:sz w:val="13"/>
          <w:szCs w:val="13"/>
          <w:color w:val="auto"/>
        </w:rPr>
      </w:pPr>
    </w:p>
    <w:p>
      <w:pPr>
        <w:ind w:left="500" w:right="100" w:hanging="292"/>
        <w:spacing w:after="0" w:line="260" w:lineRule="auto"/>
        <w:tabs>
          <w:tab w:leader="none" w:pos="49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Percentage leased excludes the residential property and the View Boston Observatory at The Prudential Center (redevelopment) at 800 Boylston Street - The Prudential Center. Estimated total investment excludes approximately $1.2 billion related to the development of 290 Binney Street and approximately $210 million related to the redevelopment of 300 Binney Street which was still in-service at December 31, 2022. We terminated our existing lease agreement with a client at 300 Binney Street to facilitate the redevelopment of the property, which commenced in January 2023. 290 Binney Street and 300 Binney Street are 100% pre-leased. See Note 16 to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56"/>
        <w:spacing w:after="0" w:line="248" w:lineRule="auto"/>
        <w:rPr>
          <w:sz w:val="20"/>
          <w:szCs w:val="20"/>
          <w:color w:val="auto"/>
        </w:rPr>
      </w:pPr>
      <w:r>
        <w:rPr>
          <w:rFonts w:ascii="Arial" w:cs="Arial" w:eastAsia="Arial" w:hAnsi="Arial"/>
          <w:sz w:val="16"/>
          <w:szCs w:val="16"/>
          <w:color w:val="auto"/>
        </w:rPr>
        <w:t>Lease revenue (which includes recoveries from clients),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w:t>
      </w:r>
    </w:p>
    <w:p>
      <w:pPr>
        <w:spacing w:after="0" w:line="138" w:lineRule="exact"/>
        <w:rPr>
          <w:sz w:val="20"/>
          <w:szCs w:val="20"/>
          <w:color w:val="auto"/>
        </w:rPr>
      </w:pPr>
    </w:p>
    <w:p>
      <w:pPr>
        <w:ind w:right="440" w:firstLine="356"/>
        <w:spacing w:after="0" w:line="250" w:lineRule="auto"/>
        <w:rPr>
          <w:sz w:val="20"/>
          <w:szCs w:val="20"/>
          <w:color w:val="auto"/>
        </w:rPr>
      </w:pPr>
      <w:r>
        <w:rPr>
          <w:rFonts w:ascii="Arial" w:cs="Arial" w:eastAsia="Arial" w:hAnsi="Arial"/>
          <w:sz w:val="16"/>
          <w:szCs w:val="16"/>
          <w:color w:val="auto"/>
        </w:rPr>
        <w:t>We expect our primary uses of capital over the next twelve months will be to fund the continuation and completion of our current and committed development and redevelopment projects, repay debt maturities (as discussed below), service the interest payments on our outstanding indebtedness, and satisfy our REIT distribution requirements.</w:t>
      </w:r>
    </w:p>
    <w:p>
      <w:pPr>
        <w:spacing w:after="0" w:line="136" w:lineRule="exact"/>
        <w:rPr>
          <w:sz w:val="20"/>
          <w:szCs w:val="20"/>
          <w:color w:val="auto"/>
        </w:rPr>
      </w:pPr>
    </w:p>
    <w:p>
      <w:pPr>
        <w:ind w:right="80" w:firstLine="356"/>
        <w:spacing w:after="0" w:line="249" w:lineRule="auto"/>
        <w:rPr>
          <w:sz w:val="20"/>
          <w:szCs w:val="20"/>
          <w:color w:val="auto"/>
        </w:rPr>
      </w:pPr>
      <w:r>
        <w:rPr>
          <w:rFonts w:ascii="Arial" w:cs="Arial" w:eastAsia="Arial" w:hAnsi="Arial"/>
          <w:sz w:val="16"/>
          <w:szCs w:val="16"/>
          <w:color w:val="auto"/>
        </w:rPr>
        <w:t>As of December 31, 2022, we had 13 properties under development or redevelopment. Our share of the estimated total cost for these projects is approximately $1.9 billion, of which approximately $729.1 million remains to be funded with equity through 2026. In the fourth quarter of 2022, we commenced the redevelopment of 105 Carnegie Center in Princeton, New Jersey. 105 Carnegie Center is an approximately 70,000 net rentable square feet property that will be converted into an approximately 73,000 square foot laboratory/life sciences property for an approximate cost of $40.6 million.</w:t>
      </w:r>
    </w:p>
    <w:p>
      <w:pPr>
        <w:spacing w:after="0" w:line="137" w:lineRule="exact"/>
        <w:rPr>
          <w:sz w:val="20"/>
          <w:szCs w:val="20"/>
          <w:color w:val="auto"/>
        </w:rPr>
      </w:pPr>
    </w:p>
    <w:p>
      <w:pPr>
        <w:ind w:right="240" w:firstLine="356"/>
        <w:spacing w:after="0" w:line="253" w:lineRule="auto"/>
        <w:rPr>
          <w:sz w:val="20"/>
          <w:szCs w:val="20"/>
          <w:color w:val="auto"/>
        </w:rPr>
      </w:pPr>
      <w:r>
        <w:rPr>
          <w:rFonts w:ascii="Arial" w:cs="Arial" w:eastAsia="Arial" w:hAnsi="Arial"/>
          <w:sz w:val="16"/>
          <w:szCs w:val="16"/>
          <w:color w:val="auto"/>
        </w:rPr>
        <w:t>In January 2023, we added the following new projects to our active development and redevelopment portfolio (see Note 16 to the Consolidated Financial Statements):</w:t>
      </w:r>
    </w:p>
    <w:p>
      <w:pPr>
        <w:spacing w:after="0" w:line="134" w:lineRule="exact"/>
        <w:rPr>
          <w:sz w:val="20"/>
          <w:szCs w:val="20"/>
          <w:color w:val="auto"/>
        </w:rPr>
      </w:pPr>
    </w:p>
    <w:p>
      <w:pPr>
        <w:ind w:left="640" w:right="180" w:hanging="219"/>
        <w:spacing w:after="0" w:line="253" w:lineRule="auto"/>
        <w:tabs>
          <w:tab w:leader="none" w:pos="636" w:val="left"/>
        </w:tabs>
        <w:numPr>
          <w:ilvl w:val="0"/>
          <w:numId w:val="83"/>
        </w:numPr>
        <w:rPr>
          <w:rFonts w:ascii="Arial" w:cs="Arial" w:eastAsia="Arial" w:hAnsi="Arial"/>
          <w:sz w:val="16"/>
          <w:szCs w:val="16"/>
          <w:color w:val="auto"/>
        </w:rPr>
      </w:pPr>
      <w:r>
        <w:rPr>
          <w:rFonts w:ascii="Arial" w:cs="Arial" w:eastAsia="Arial" w:hAnsi="Arial"/>
          <w:sz w:val="16"/>
          <w:szCs w:val="16"/>
          <w:color w:val="auto"/>
        </w:rPr>
        <w:t>290 Binney Steet in Cambridge, Massachusetts, an approximately 566,000 net rentable square foot laboratory/life sciences project. The project has a total budget of approximately $1.2 billion and is expected to be completed in 2026. The project is 100% pre-leased to AstraZeneca.</w:t>
      </w:r>
    </w:p>
    <w:p>
      <w:pPr>
        <w:spacing w:after="0" w:line="133" w:lineRule="exact"/>
        <w:rPr>
          <w:rFonts w:ascii="Arial" w:cs="Arial" w:eastAsia="Arial" w:hAnsi="Arial"/>
          <w:sz w:val="16"/>
          <w:szCs w:val="16"/>
          <w:color w:val="auto"/>
        </w:rPr>
      </w:pPr>
    </w:p>
    <w:p>
      <w:pPr>
        <w:ind w:left="640" w:right="80" w:hanging="219"/>
        <w:spacing w:after="0" w:line="286" w:lineRule="auto"/>
        <w:tabs>
          <w:tab w:leader="none" w:pos="636" w:val="left"/>
        </w:tabs>
        <w:numPr>
          <w:ilvl w:val="0"/>
          <w:numId w:val="83"/>
        </w:numPr>
        <w:rPr>
          <w:rFonts w:ascii="Arial" w:cs="Arial" w:eastAsia="Arial" w:hAnsi="Arial"/>
          <w:sz w:val="15"/>
          <w:szCs w:val="15"/>
          <w:color w:val="auto"/>
        </w:rPr>
      </w:pPr>
      <w:r>
        <w:rPr>
          <w:rFonts w:ascii="Arial" w:cs="Arial" w:eastAsia="Arial" w:hAnsi="Arial"/>
          <w:sz w:val="15"/>
          <w:szCs w:val="15"/>
          <w:color w:val="auto"/>
        </w:rPr>
        <w:t>300 Binney Street in Cambridge, Massachusetts. The conversion of this approximately 195,000 net rentable square foot property into an approximately 240,000 net rentable square foot laboratory/life sciences property has a total budgeted cost of $210.0 million. This project is 100% pre-leased.</w:t>
      </w:r>
    </w:p>
    <w:p>
      <w:pPr>
        <w:spacing w:after="0" w:line="110" w:lineRule="exact"/>
        <w:rPr>
          <w:sz w:val="20"/>
          <w:szCs w:val="20"/>
          <w:color w:val="auto"/>
        </w:rPr>
      </w:pPr>
    </w:p>
    <w:p>
      <w:pPr>
        <w:ind w:right="880" w:firstLine="356"/>
        <w:spacing w:after="0" w:line="253" w:lineRule="auto"/>
        <w:rPr>
          <w:sz w:val="20"/>
          <w:szCs w:val="20"/>
          <w:color w:val="auto"/>
        </w:rPr>
      </w:pPr>
      <w:r>
        <w:rPr>
          <w:rFonts w:ascii="Arial" w:cs="Arial" w:eastAsia="Arial" w:hAnsi="Arial"/>
          <w:sz w:val="16"/>
          <w:szCs w:val="16"/>
          <w:color w:val="auto"/>
        </w:rPr>
        <w:t>As of February, 21, 2023, we had 15 properties under development or redevelopment. Our share of the estimated total cost for these projects is approximately $3.3 billion.</w:t>
      </w:r>
    </w:p>
    <w:p>
      <w:pPr>
        <w:spacing w:after="0" w:line="134" w:lineRule="exact"/>
        <w:rPr>
          <w:sz w:val="20"/>
          <w:szCs w:val="20"/>
          <w:color w:val="auto"/>
        </w:rPr>
      </w:pPr>
    </w:p>
    <w:p>
      <w:pPr>
        <w:ind w:right="20" w:firstLine="356"/>
        <w:spacing w:after="0" w:line="249" w:lineRule="auto"/>
        <w:rPr>
          <w:sz w:val="20"/>
          <w:szCs w:val="20"/>
          <w:color w:val="auto"/>
        </w:rPr>
      </w:pPr>
      <w:r>
        <w:rPr>
          <w:rFonts w:ascii="Arial" w:cs="Arial" w:eastAsia="Arial" w:hAnsi="Arial"/>
          <w:sz w:val="16"/>
          <w:szCs w:val="16"/>
          <w:color w:val="auto"/>
        </w:rPr>
        <w:t>On November 17, 2022, we acquired a 26.69% interest in the joint venture that owns 200 Fifth Avenue for a gross purchase price of approximately $280.2 million, which include $120.1 million of cash and our pro rata share of the outstanding loan secured by the property of $160.1 million. 200 Fifth Avenue is a 14-story, approximately 855,000 square foot LEED Gold certified, premier workplace located in the Midtown South submarket of Manhattan, New York. The property was 93% leased as of December 31, 2022.</w:t>
      </w:r>
    </w:p>
    <w:p>
      <w:pPr>
        <w:spacing w:after="0" w:line="137" w:lineRule="exact"/>
        <w:rPr>
          <w:sz w:val="20"/>
          <w:szCs w:val="20"/>
          <w:color w:val="auto"/>
        </w:rPr>
      </w:pPr>
    </w:p>
    <w:p>
      <w:pPr>
        <w:ind w:right="340" w:firstLine="356"/>
        <w:spacing w:after="0" w:line="286" w:lineRule="auto"/>
        <w:rPr>
          <w:sz w:val="20"/>
          <w:szCs w:val="20"/>
          <w:color w:val="auto"/>
        </w:rPr>
      </w:pPr>
      <w:r>
        <w:rPr>
          <w:rFonts w:ascii="Arial" w:cs="Arial" w:eastAsia="Arial" w:hAnsi="Arial"/>
          <w:sz w:val="15"/>
          <w:szCs w:val="15"/>
          <w:color w:val="auto"/>
        </w:rPr>
        <w:t>In the fourth quarter of 2022, we completed the sale of the residential component of The Avant at Reston Town Center, located in Reston, Virginia, for a gross sale price of $141.0 million. The Avant is a 15-story, approximately 329,000 square foot, excluding retail space, 359-unit, luxury multifamily property.</w:t>
      </w:r>
    </w:p>
    <w:p>
      <w:pPr>
        <w:spacing w:after="0" w:line="110" w:lineRule="exact"/>
        <w:rPr>
          <w:sz w:val="20"/>
          <w:szCs w:val="20"/>
          <w:color w:val="auto"/>
        </w:rPr>
      </w:pPr>
    </w:p>
    <w:p>
      <w:pPr>
        <w:ind w:right="280" w:firstLine="356"/>
        <w:spacing w:after="0" w:line="275" w:lineRule="auto"/>
        <w:rPr>
          <w:sz w:val="20"/>
          <w:szCs w:val="20"/>
          <w:color w:val="auto"/>
        </w:rPr>
      </w:pPr>
      <w:r>
        <w:rPr>
          <w:rFonts w:ascii="Arial" w:cs="Arial" w:eastAsia="Arial" w:hAnsi="Arial"/>
          <w:sz w:val="15"/>
          <w:szCs w:val="15"/>
          <w:color w:val="auto"/>
        </w:rPr>
        <w:t>Aggregating our pro rata share of 2022 capital markets activity, we purchased properties or interests in joint ventures that own property of approximately $1.6 billion, sold properties or parcels of land for gross sales prices of approximately $864.2 million, commenced development and redevelopment projects, including projects that commenced in the first quarter of 2023, of approximately $2.0 billion and completed approximately $1.8 billion of debt financing.</w:t>
      </w:r>
    </w:p>
    <w:p>
      <w:pPr>
        <w:spacing w:after="0" w:line="118" w:lineRule="exact"/>
        <w:rPr>
          <w:sz w:val="20"/>
          <w:szCs w:val="20"/>
          <w:color w:val="auto"/>
        </w:rPr>
      </w:pPr>
    </w:p>
    <w:p>
      <w:pPr>
        <w:ind w:right="40" w:firstLine="356"/>
        <w:spacing w:after="0" w:line="250" w:lineRule="auto"/>
        <w:rPr>
          <w:sz w:val="20"/>
          <w:szCs w:val="20"/>
          <w:color w:val="auto"/>
        </w:rPr>
      </w:pPr>
      <w:r>
        <w:rPr>
          <w:rFonts w:ascii="Arial" w:cs="Arial" w:eastAsia="Arial" w:hAnsi="Arial"/>
          <w:sz w:val="16"/>
          <w:szCs w:val="16"/>
          <w:color w:val="auto"/>
        </w:rPr>
        <w:t>In July 2021, we announced the formation of the SCP with two partners each having a targeted equity commitment of $1.0 billion and a $250 million commitment from us. Under this agreement, we agreed to provide these partners, for up to two years, exclusive first offers to form joint ventures with us to invest in assets that meet target criteria. All investments are discretionary to each partner.</w:t>
      </w:r>
    </w:p>
    <w:p>
      <w:pPr>
        <w:spacing w:after="0" w:line="136" w:lineRule="exact"/>
        <w:rPr>
          <w:sz w:val="20"/>
          <w:szCs w:val="20"/>
          <w:color w:val="auto"/>
        </w:rPr>
      </w:pPr>
    </w:p>
    <w:p>
      <w:pPr>
        <w:ind w:right="140" w:firstLine="356"/>
        <w:spacing w:after="0" w:line="250" w:lineRule="auto"/>
        <w:rPr>
          <w:sz w:val="20"/>
          <w:szCs w:val="20"/>
          <w:color w:val="auto"/>
        </w:rPr>
      </w:pPr>
      <w:r>
        <w:rPr>
          <w:rFonts w:ascii="Arial" w:cs="Arial" w:eastAsia="Arial" w:hAnsi="Arial"/>
          <w:sz w:val="16"/>
          <w:szCs w:val="16"/>
          <w:color w:val="auto"/>
        </w:rPr>
        <w:t>The SCP provides us the opportunity to partner with large institutional investors and capitalize our investment opportunities partially through private equity. The SCP enhances our access to capital and investment capacity, enhances our returns through fee income, and in some investments provides us the opportunity to realize a greater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share of income upon achieving certain success criteria. These large financial partners are among the world’s largest sovereign wealth funds and pension plans.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As we move forward, we anticipate increasing our use of joint venture partner equity to manage our debt levels.</w:t>
      </w:r>
    </w:p>
    <w:p>
      <w:pPr>
        <w:spacing w:after="0" w:line="148" w:lineRule="exact"/>
        <w:rPr>
          <w:sz w:val="20"/>
          <w:szCs w:val="20"/>
          <w:color w:val="auto"/>
        </w:rPr>
      </w:pPr>
    </w:p>
    <w:p>
      <w:pPr>
        <w:ind w:right="40" w:firstLine="356"/>
        <w:spacing w:after="0" w:line="248" w:lineRule="auto"/>
        <w:rPr>
          <w:sz w:val="20"/>
          <w:szCs w:val="20"/>
          <w:color w:val="auto"/>
        </w:rPr>
      </w:pPr>
      <w:r>
        <w:rPr>
          <w:rFonts w:ascii="Arial" w:cs="Arial" w:eastAsia="Arial" w:hAnsi="Arial"/>
          <w:sz w:val="16"/>
          <w:szCs w:val="16"/>
          <w:color w:val="auto"/>
        </w:rPr>
        <w:t>On January 4, 2023, we entered into a credit agreement that provided for a $1.2 billion unsecured term loan facility (the “2023 Unsecured Term Loan”). Under the credit agreement, we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we borrowed the full $1.2 billion available under the 2023 Unsecured Term Loan, a portion of which was used to repay in full the 2022 Unsecured Term Loan, which was scheduled to mature on May 16, 2023.</w:t>
      </w:r>
    </w:p>
    <w:p>
      <w:pPr>
        <w:spacing w:after="0" w:line="139" w:lineRule="exact"/>
        <w:rPr>
          <w:sz w:val="20"/>
          <w:szCs w:val="20"/>
          <w:color w:val="auto"/>
        </w:rPr>
      </w:pPr>
    </w:p>
    <w:p>
      <w:pPr>
        <w:ind w:right="20" w:firstLine="356"/>
        <w:spacing w:after="0" w:line="267" w:lineRule="auto"/>
        <w:rPr>
          <w:sz w:val="20"/>
          <w:szCs w:val="20"/>
          <w:color w:val="auto"/>
        </w:rPr>
      </w:pPr>
      <w:r>
        <w:rPr>
          <w:rFonts w:ascii="Arial" w:cs="Arial" w:eastAsia="Arial" w:hAnsi="Arial"/>
          <w:sz w:val="15"/>
          <w:szCs w:val="15"/>
          <w:color w:val="auto"/>
        </w:rPr>
        <w:t>After repayment of the $730.0 million 2022 Unsecured Term Loan on January 4, 2023, our remaining 2023 and 2024 debt maturities include (1) $500.0 million aggregate principal amount of BPLP’s 3.125% senior unsecured notes, which mature on September 1, 2023, (2) $700.0 million aggregate principal amount of BPLP’s 3.800% senior unsecured notes, which mature on February 1, 2024 and (3) the $1.2 billion 2023 Unsecured Term Loan. In our unconsolidated joint venture portfolio, we have approximately $603.2 million (our share) of debt maturating in 2023 and 2024. We expect to fund 2023 and 2024 debt maturities using available cash balances, proceeds from asset sales, draws on BPLP’s Revolving Facility, and/or through refinancings. We expect our interest expense will be materially greater in 2023 compared to 2022 due to the cessation of capitalized interest on our development deliveries, acquisitions funded by debt, higher interest rates on our floating rate debt, and the impact of refinancing our 2023 debt maturities at materially higher interest rates.</w:t>
      </w:r>
    </w:p>
    <w:p>
      <w:pPr>
        <w:spacing w:after="0" w:line="126" w:lineRule="exact"/>
        <w:rPr>
          <w:sz w:val="20"/>
          <w:szCs w:val="20"/>
          <w:color w:val="auto"/>
        </w:rPr>
      </w:pPr>
    </w:p>
    <w:p>
      <w:pPr>
        <w:ind w:firstLine="356"/>
        <w:spacing w:after="0" w:line="248" w:lineRule="auto"/>
        <w:rPr>
          <w:sz w:val="20"/>
          <w:szCs w:val="20"/>
          <w:color w:val="auto"/>
        </w:rPr>
      </w:pPr>
      <w:r>
        <w:rPr>
          <w:rFonts w:ascii="Arial" w:cs="Arial" w:eastAsia="Arial" w:hAnsi="Arial"/>
          <w:sz w:val="16"/>
          <w:szCs w:val="16"/>
          <w:color w:val="auto"/>
        </w:rPr>
        <w:t>As of February 21, 2023, we had available cash of approximately $833.3 million (of which approximately $79.9 million is attributable to our consolidated joint venture partners). Our liquidity and capital resources depend on a wide range of factors and we believe that our access to capital and our strong liquidity, including the approximately $1.5 billion available under the Revolving Facility and our available cash, as of February 21, 2023, are sufficient to fund our remaining capital requirements on existing development and redevelopment projects, fund acquisitions, repay our maturing indebtedness when due (if not refinanced), satisfy our REIT distribution requirements and still allow us to act opportunistically on attractive investment opportunities.</w:t>
      </w:r>
    </w:p>
    <w:p>
      <w:pPr>
        <w:spacing w:after="0" w:line="140" w:lineRule="exact"/>
        <w:rPr>
          <w:sz w:val="20"/>
          <w:szCs w:val="20"/>
          <w:color w:val="auto"/>
        </w:rPr>
      </w:pPr>
    </w:p>
    <w:p>
      <w:pPr>
        <w:ind w:right="120" w:firstLine="356"/>
        <w:spacing w:after="0" w:line="248" w:lineRule="auto"/>
        <w:rPr>
          <w:sz w:val="20"/>
          <w:szCs w:val="20"/>
          <w:color w:val="auto"/>
        </w:rPr>
      </w:pPr>
      <w:r>
        <w:rPr>
          <w:rFonts w:ascii="Arial" w:cs="Arial" w:eastAsia="Arial" w:hAnsi="Arial"/>
          <w:sz w:val="16"/>
          <w:szCs w:val="16"/>
          <w:color w:val="auto"/>
        </w:rPr>
        <w:t>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(including utilization of BXP’s $600.0 million “at the market” equity offering program). Doing so may result in us carrying additional cash and cash equivalents pending our use of the proceeds, which could increase our net interest expense or be dilutive to our earnings, or both.</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not sold any shares under BXP’s $600.0 million “at the market” equity offering program.</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Inflation</w:t>
      </w:r>
    </w:p>
    <w:p>
      <w:pPr>
        <w:spacing w:after="0" w:line="95"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We are exposed to inflation risk, as income from long-term leases is the primary source of our cash flows from operations. There are provisions in the majority of our client leases that protect us from, and mitigate the risk of, the impact of inflation. These provisions include rent steps and resets to market, reimbursement billings for operating expense pass-through charges, real estate tax and insurance reimbursements on a per-square-foot basis, or in some cases, annual reimbursement of operating expenses above a certain per-square-foot allowance. However, due to the long-term nature of the leases, the rent may not increase frequently enough to fully cover inflation.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REIT Tax Distribution Considerations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Dividend</w:t>
      </w:r>
    </w:p>
    <w:p>
      <w:pPr>
        <w:spacing w:after="0" w:line="93"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total distribution per unit.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Sales</w:t>
      </w:r>
    </w:p>
    <w:p>
      <w:pPr>
        <w:spacing w:after="0" w:line="93"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39"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Cash Flow Summary</w:t>
      </w:r>
    </w:p>
    <w:p>
      <w:pPr>
        <w:spacing w:after="0" w:line="107" w:lineRule="exact"/>
        <w:rPr>
          <w:sz w:val="20"/>
          <w:szCs w:val="20"/>
          <w:color w:val="auto"/>
        </w:rPr>
      </w:pPr>
    </w:p>
    <w:p>
      <w:pPr>
        <w:ind w:right="560" w:firstLine="391"/>
        <w:spacing w:after="0" w:line="253" w:lineRule="auto"/>
        <w:rPr>
          <w:sz w:val="20"/>
          <w:szCs w:val="20"/>
          <w:color w:val="auto"/>
        </w:rPr>
      </w:pPr>
      <w:r>
        <w:rPr>
          <w:rFonts w:ascii="Arial" w:cs="Arial" w:eastAsia="Arial" w:hAnsi="Arial"/>
          <w:sz w:val="16"/>
          <w:szCs w:val="16"/>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34" w:lineRule="exact"/>
        <w:rPr>
          <w:sz w:val="20"/>
          <w:szCs w:val="20"/>
          <w:color w:val="auto"/>
        </w:rPr>
      </w:pPr>
    </w:p>
    <w:p>
      <w:pPr>
        <w:ind w:right="580" w:firstLine="391"/>
        <w:spacing w:after="0" w:line="253" w:lineRule="auto"/>
        <w:rPr>
          <w:sz w:val="20"/>
          <w:szCs w:val="20"/>
          <w:color w:val="auto"/>
        </w:rPr>
      </w:pPr>
      <w:r>
        <w:rPr>
          <w:rFonts w:ascii="Arial" w:cs="Arial" w:eastAsia="Arial" w:hAnsi="Arial"/>
          <w:sz w:val="16"/>
          <w:szCs w:val="16"/>
          <w:color w:val="auto"/>
        </w:rPr>
        <w:t>Cash and cash equivalents and cash held in escrows aggregated approximately $736.8 million and $501.2 million at December 31, 2022 and 2021, respectively, representing an increase of approximately $235.7 million. The following table sets forth changes in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347"/>
        </w:trPr>
        <w:tc>
          <w:tcPr>
            <w:tcW w:w="6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Change</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center"/>
              <w:ind w:right="246"/>
              <w:spacing w:after="0"/>
              <w:rPr>
                <w:sz w:val="20"/>
                <w:szCs w:val="20"/>
                <w:color w:val="auto"/>
              </w:rPr>
            </w:pPr>
            <w:r>
              <w:rPr>
                <w:rFonts w:ascii="Arial" w:cs="Arial" w:eastAsia="Arial" w:hAnsi="Arial"/>
                <w:sz w:val="13"/>
                <w:szCs w:val="13"/>
                <w:b w:val="1"/>
                <w:bCs w:val="1"/>
                <w:color w:val="auto"/>
                <w:w w:val="95"/>
              </w:rPr>
              <w:t>(in thousands)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1,282,399</w:t>
            </w:r>
          </w:p>
        </w:tc>
        <w:tc>
          <w:tcPr>
            <w:tcW w:w="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306"/>
              <w:spacing w:after="0"/>
              <w:rPr>
                <w:sz w:val="20"/>
                <w:szCs w:val="20"/>
                <w:color w:val="auto"/>
              </w:rPr>
            </w:pPr>
            <w:r>
              <w:rPr>
                <w:rFonts w:ascii="Arial" w:cs="Arial" w:eastAsia="Arial" w:hAnsi="Arial"/>
                <w:sz w:val="16"/>
                <w:szCs w:val="16"/>
                <w:color w:val="auto"/>
              </w:rPr>
              <w:t>1,133,227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149,172</w:t>
            </w:r>
          </w:p>
        </w:tc>
      </w:tr>
      <w:tr>
        <w:trPr>
          <w:trHeight w:val="201"/>
        </w:trPr>
        <w:tc>
          <w:tcPr>
            <w:tcW w:w="64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(1,602,802)</w:t>
            </w:r>
          </w:p>
        </w:tc>
        <w:tc>
          <w:tcPr>
            <w:tcW w:w="320" w:type="dxa"/>
            <w:vAlign w:val="bottom"/>
          </w:tcPr>
          <w:p>
            <w:pPr>
              <w:spacing w:after="0"/>
              <w:rPr>
                <w:sz w:val="17"/>
                <w:szCs w:val="17"/>
                <w:color w:val="auto"/>
              </w:rPr>
            </w:pPr>
          </w:p>
        </w:tc>
        <w:tc>
          <w:tcPr>
            <w:tcW w:w="1420" w:type="dxa"/>
            <w:vAlign w:val="bottom"/>
          </w:tcPr>
          <w:p>
            <w:pPr>
              <w:jc w:val="center"/>
              <w:ind w:left="286"/>
              <w:spacing w:after="0"/>
              <w:rPr>
                <w:sz w:val="20"/>
                <w:szCs w:val="20"/>
                <w:color w:val="auto"/>
              </w:rPr>
            </w:pPr>
            <w:r>
              <w:rPr>
                <w:rFonts w:ascii="Arial" w:cs="Arial" w:eastAsia="Arial" w:hAnsi="Arial"/>
                <w:sz w:val="16"/>
                <w:szCs w:val="16"/>
                <w:color w:val="auto"/>
              </w:rPr>
              <w:t>(1,039,956)</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(562,846)</w:t>
            </w:r>
          </w:p>
        </w:tc>
      </w:tr>
      <w:tr>
        <w:trPr>
          <w:trHeight w:val="202"/>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556,057</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ind w:left="286"/>
              <w:spacing w:after="0"/>
              <w:rPr>
                <w:sz w:val="20"/>
                <w:szCs w:val="20"/>
                <w:color w:val="auto"/>
              </w:rPr>
            </w:pPr>
            <w:r>
              <w:rPr>
                <w:rFonts w:ascii="Arial" w:cs="Arial" w:eastAsia="Arial" w:hAnsi="Arial"/>
                <w:sz w:val="16"/>
                <w:szCs w:val="16"/>
                <w:color w:val="auto"/>
              </w:rPr>
              <w:t>(1,311,442)</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1,867,499</w:t>
            </w:r>
          </w:p>
        </w:tc>
      </w:tr>
    </w:tbl>
    <w:p>
      <w:pPr>
        <w:spacing w:after="0" w:line="307"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Our principal source of cash flow is related to the operation of our properties. The weighted-average term of our in-place leases, including leases signed by our unconsolidated joint ventures, excluding residential units, was approximately 7.9 years as of December 31, 2022,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40"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years ended December 31, 2022 and December 31, 2021 is detailed below:</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7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81"/>
        </w:trPr>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 of real estate (1)</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(1,320,273)</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(222,260)</w:t>
            </w:r>
          </w:p>
        </w:tc>
      </w:tr>
      <w:tr>
        <w:trPr>
          <w:trHeight w:val="187"/>
        </w:trPr>
        <w:tc>
          <w:tcPr>
            <w:tcW w:w="7860" w:type="dxa"/>
            <w:vAlign w:val="bottom"/>
          </w:tcPr>
          <w:p>
            <w:pPr>
              <w:ind w:left="20"/>
              <w:spacing w:after="0"/>
              <w:rPr>
                <w:sz w:val="20"/>
                <w:szCs w:val="20"/>
                <w:color w:val="auto"/>
              </w:rPr>
            </w:pPr>
            <w:r>
              <w:rPr>
                <w:rFonts w:ascii="Arial" w:cs="Arial" w:eastAsia="Arial" w:hAnsi="Arial"/>
                <w:sz w:val="14"/>
                <w:szCs w:val="14"/>
                <w:color w:val="auto"/>
              </w:rPr>
              <w:t>Construction in progress (2)</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(500,273)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(513,878)</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 and other capital improvements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(177,004)</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(150,998)</w:t>
            </w:r>
          </w:p>
        </w:tc>
      </w:tr>
      <w:tr>
        <w:trPr>
          <w:trHeight w:val="187"/>
        </w:trPr>
        <w:tc>
          <w:tcPr>
            <w:tcW w:w="7860" w:type="dxa"/>
            <w:vAlign w:val="bottom"/>
          </w:tcPr>
          <w:p>
            <w:pPr>
              <w:ind w:left="20"/>
              <w:spacing w:after="0"/>
              <w:rPr>
                <w:sz w:val="20"/>
                <w:szCs w:val="20"/>
                <w:color w:val="auto"/>
              </w:rPr>
            </w:pPr>
            <w:r>
              <w:rPr>
                <w:rFonts w:ascii="Arial" w:cs="Arial" w:eastAsia="Arial" w:hAnsi="Arial"/>
                <w:sz w:val="14"/>
                <w:szCs w:val="14"/>
                <w:color w:val="auto"/>
              </w:rPr>
              <w:t>Tenant improvements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(218,685)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(263,952)</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sales of real estate (3)</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834,770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179,887</w:t>
            </w:r>
          </w:p>
        </w:tc>
      </w:tr>
      <w:tr>
        <w:trPr>
          <w:trHeight w:val="187"/>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assignment fee (4)</w:t>
            </w:r>
          </w:p>
        </w:tc>
        <w:tc>
          <w:tcPr>
            <w:tcW w:w="36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6,624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to unconsolidated joint ventures (5)</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(277,581)</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(98,152)</w:t>
            </w:r>
          </w:p>
        </w:tc>
      </w:tr>
      <w:tr>
        <w:trPr>
          <w:trHeight w:val="187"/>
        </w:trPr>
        <w:tc>
          <w:tcPr>
            <w:tcW w:w="7860" w:type="dxa"/>
            <w:vAlign w:val="bottom"/>
          </w:tcPr>
          <w:p>
            <w:pPr>
              <w:ind w:left="20"/>
              <w:spacing w:after="0"/>
              <w:rPr>
                <w:sz w:val="20"/>
                <w:szCs w:val="20"/>
                <w:color w:val="auto"/>
              </w:rPr>
            </w:pPr>
            <w:r>
              <w:rPr>
                <w:rFonts w:ascii="Arial" w:cs="Arial" w:eastAsia="Arial" w:hAnsi="Arial"/>
                <w:sz w:val="14"/>
                <w:szCs w:val="14"/>
                <w:color w:val="auto"/>
              </w:rPr>
              <w:t>Capital distributions from unconsolidated joint ventures (6)</w:t>
            </w:r>
          </w:p>
        </w:tc>
        <w:tc>
          <w:tcPr>
            <w:tcW w:w="36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37,122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investment in unconsolidated joint venture (7)</w:t>
            </w:r>
          </w:p>
        </w:tc>
        <w:tc>
          <w:tcPr>
            <w:tcW w:w="3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17,789</w:t>
            </w:r>
          </w:p>
        </w:tc>
      </w:tr>
      <w:tr>
        <w:trPr>
          <w:trHeight w:val="187"/>
        </w:trPr>
        <w:tc>
          <w:tcPr>
            <w:tcW w:w="7860" w:type="dxa"/>
            <w:vAlign w:val="bottom"/>
          </w:tcPr>
          <w:p>
            <w:pPr>
              <w:ind w:left="20"/>
              <w:spacing w:after="0"/>
              <w:rPr>
                <w:sz w:val="20"/>
                <w:szCs w:val="20"/>
                <w:color w:val="auto"/>
              </w:rPr>
            </w:pPr>
            <w:r>
              <w:rPr>
                <w:rFonts w:ascii="Arial" w:cs="Arial" w:eastAsia="Arial" w:hAnsi="Arial"/>
                <w:sz w:val="14"/>
                <w:szCs w:val="14"/>
                <w:color w:val="auto"/>
              </w:rPr>
              <w:t>Investment in non-real estate investments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(2,404)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note receivable (8)</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w:t>
            </w:r>
          </w:p>
        </w:tc>
      </w:tr>
      <w:tr>
        <w:trPr>
          <w:trHeight w:val="18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in securities, net</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4,902</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w:t>
            </w:r>
          </w:p>
        </w:tc>
      </w:tr>
      <w:tr>
        <w:trPr>
          <w:trHeight w:val="20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(1,602,802)</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(1,039,956)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used in investing activities changed primarily due to the following:</w:t>
      </w:r>
    </w:p>
    <w:p>
      <w:pPr>
        <w:spacing w:after="0" w:line="148" w:lineRule="exact"/>
        <w:rPr>
          <w:sz w:val="20"/>
          <w:szCs w:val="20"/>
          <w:color w:val="auto"/>
        </w:rPr>
      </w:pPr>
    </w:p>
    <w:p>
      <w:pPr>
        <w:ind w:left="560" w:right="300" w:hanging="281"/>
        <w:spacing w:after="0" w:line="250"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September 16, 2022, we acquired 125 Broadway in Cambridge, Massachusetts for a net purchase price, including transaction costs, of approximately $592.4 million. The acquisition was completed with available cash and borrowings under BPLP’s Revolving Facility. 125 Broadway is a 271,000 net rentable square foot, six-story, laboratory/life sciences property.</w:t>
      </w:r>
    </w:p>
    <w:p>
      <w:pPr>
        <w:spacing w:after="0" w:line="136" w:lineRule="exact"/>
        <w:rPr>
          <w:rFonts w:ascii="Arial" w:cs="Arial" w:eastAsia="Arial" w:hAnsi="Arial"/>
          <w:sz w:val="16"/>
          <w:szCs w:val="16"/>
          <w:color w:val="auto"/>
        </w:rPr>
      </w:pPr>
    </w:p>
    <w:p>
      <w:pPr>
        <w:ind w:left="560" w:right="100"/>
        <w:spacing w:after="0" w:line="250" w:lineRule="auto"/>
        <w:rPr>
          <w:rFonts w:ascii="Arial" w:cs="Arial" w:eastAsia="Arial" w:hAnsi="Arial"/>
          <w:sz w:val="16"/>
          <w:szCs w:val="16"/>
          <w:color w:val="auto"/>
        </w:rPr>
      </w:pPr>
      <w:r>
        <w:rPr>
          <w:rFonts w:ascii="Arial" w:cs="Arial" w:eastAsia="Arial" w:hAnsi="Arial"/>
          <w:sz w:val="16"/>
          <w:szCs w:val="16"/>
          <w:color w:val="auto"/>
        </w:rPr>
        <w:t>On May 17, 2022, we completed the acquisition of Madison Centre in Seattle, Washington, for an aggregate purchase price, including transaction costs, of approximately $724.3 million. Madison Centre is an approximately 755,000 net rentable square foot, 37-story, LEED-Platinum certified, premier workplace.</w:t>
      </w:r>
    </w:p>
    <w:p>
      <w:pPr>
        <w:spacing w:after="0" w:line="136" w:lineRule="exact"/>
        <w:rPr>
          <w:rFonts w:ascii="Arial" w:cs="Arial" w:eastAsia="Arial" w:hAnsi="Arial"/>
          <w:sz w:val="16"/>
          <w:szCs w:val="16"/>
          <w:color w:val="auto"/>
        </w:rPr>
      </w:pPr>
    </w:p>
    <w:p>
      <w:pPr>
        <w:ind w:left="560" w:right="240"/>
        <w:spacing w:after="0" w:line="249" w:lineRule="auto"/>
        <w:rPr>
          <w:rFonts w:ascii="Arial" w:cs="Arial" w:eastAsia="Arial" w:hAnsi="Arial"/>
          <w:sz w:val="16"/>
          <w:szCs w:val="16"/>
          <w:color w:val="auto"/>
        </w:rPr>
      </w:pPr>
      <w:r>
        <w:rPr>
          <w:rFonts w:ascii="Arial" w:cs="Arial" w:eastAsia="Arial" w:hAnsi="Arial"/>
          <w:sz w:val="16"/>
          <w:szCs w:val="16"/>
          <w:color w:val="auto"/>
        </w:rPr>
        <w:t>On August 2, 2021, we acquired Shady Grove Innovation District in Rockville, Maryland, for a purchase price, including transaction costs, of approximately $118.5 million in cash. Shady Grove Innovation District is an approximately 435,000 net rentable square foot, seven-building office park situated on an approximately 31-acre site. We anticipate we will redevelop or convert Shady Grove Innovation District to support lab or life sciences-related uses.</w:t>
      </w:r>
    </w:p>
    <w:p>
      <w:pPr>
        <w:spacing w:after="0" w:line="137" w:lineRule="exact"/>
        <w:rPr>
          <w:rFonts w:ascii="Arial" w:cs="Arial" w:eastAsia="Arial" w:hAnsi="Arial"/>
          <w:sz w:val="16"/>
          <w:szCs w:val="16"/>
          <w:color w:val="auto"/>
        </w:rPr>
      </w:pPr>
    </w:p>
    <w:p>
      <w:pPr>
        <w:ind w:left="560" w:right="320"/>
        <w:spacing w:after="0" w:line="253" w:lineRule="auto"/>
        <w:rPr>
          <w:rFonts w:ascii="Arial" w:cs="Arial" w:eastAsia="Arial" w:hAnsi="Arial"/>
          <w:sz w:val="16"/>
          <w:szCs w:val="16"/>
          <w:color w:val="auto"/>
        </w:rPr>
      </w:pPr>
      <w:r>
        <w:rPr>
          <w:rFonts w:ascii="Arial" w:cs="Arial" w:eastAsia="Arial" w:hAnsi="Arial"/>
          <w:sz w:val="16"/>
          <w:szCs w:val="16"/>
          <w:color w:val="auto"/>
        </w:rPr>
        <w:t>On June 2, 2021, we acquired 153 &amp; 211 Second Avenue located in Waltham, Massachusetts for a purchase price of approximately $100.2 million in cash. 153 &amp; 211 Second Avenue consists of two life sciences lab buildings totaling approximately 137,000 net rentable square feet.</w:t>
      </w:r>
    </w:p>
    <w:p>
      <w:pPr>
        <w:spacing w:after="0" w:line="133" w:lineRule="exact"/>
        <w:rPr>
          <w:rFonts w:ascii="Arial" w:cs="Arial" w:eastAsia="Arial" w:hAnsi="Arial"/>
          <w:sz w:val="16"/>
          <w:szCs w:val="16"/>
          <w:color w:val="auto"/>
        </w:rPr>
      </w:pPr>
    </w:p>
    <w:p>
      <w:pPr>
        <w:ind w:left="560" w:right="100" w:hanging="281"/>
        <w:spacing w:after="0" w:line="248"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Construction in progress for the year ended December 31, 2022 included ongoing expenditures associated with 2100 Pennsylvania Avenue, which was partially placed in-service, and 325 Main Street, 880 Winter Street and Reston Next, which were completed and fully placed in-service during the year ended December 31, 2022. In addition, we incurred costs associated with our continued development/redevelopment of 190 CityPoint (formerly 180 CityPoint), View Boston Observatory at The Prudential Center, 103 CityPoint, Reston Next Office Phase II, 140 Kendrick Street Building A, 760 Boylston Street and 105 Carnegie Center.</w:t>
      </w:r>
    </w:p>
    <w:p>
      <w:pPr>
        <w:spacing w:after="0" w:line="139" w:lineRule="exact"/>
        <w:rPr>
          <w:rFonts w:ascii="Arial" w:cs="Arial" w:eastAsia="Arial" w:hAnsi="Arial"/>
          <w:sz w:val="16"/>
          <w:szCs w:val="16"/>
          <w:color w:val="auto"/>
        </w:rPr>
      </w:pPr>
    </w:p>
    <w:p>
      <w:pPr>
        <w:ind w:left="560" w:right="40"/>
        <w:spacing w:after="0" w:line="249" w:lineRule="auto"/>
        <w:rPr>
          <w:rFonts w:ascii="Arial" w:cs="Arial" w:eastAsia="Arial" w:hAnsi="Arial"/>
          <w:sz w:val="16"/>
          <w:szCs w:val="16"/>
          <w:color w:val="auto"/>
        </w:rPr>
      </w:pPr>
      <w:r>
        <w:rPr>
          <w:rFonts w:ascii="Arial" w:cs="Arial" w:eastAsia="Arial" w:hAnsi="Arial"/>
          <w:sz w:val="16"/>
          <w:szCs w:val="16"/>
          <w:color w:val="auto"/>
        </w:rPr>
        <w:t>Construction in progress for the year ended December 31, 2021 includes ongoing expenditures associated with One Five Nine East 53rd Street, which was completed and fully placed in-service during the year ended December 31, 2021. In addition, we incurred costs associated with our continued development/redevelopment of 200 West Street, 325 Main Street, 2100 Pennsylvania Avenue, Reston Next, 190 CityPoint (formerly 180 CityPoint), View Boston Observatory at The Prudential Center and 880 Winter Street.</w:t>
      </w:r>
    </w:p>
    <w:p>
      <w:pPr>
        <w:spacing w:after="0" w:line="137" w:lineRule="exact"/>
        <w:rPr>
          <w:rFonts w:ascii="Arial" w:cs="Arial" w:eastAsia="Arial" w:hAnsi="Arial"/>
          <w:sz w:val="16"/>
          <w:szCs w:val="16"/>
          <w:color w:val="auto"/>
        </w:rPr>
      </w:pPr>
    </w:p>
    <w:p>
      <w:pPr>
        <w:ind w:left="560" w:right="140" w:hanging="281"/>
        <w:spacing w:after="0" w:line="247"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November 8, 2022, we completed the sale of the residential component of The Avant at Reston Town Center, located in Reston, Virginia, for a gross sale price of $141.0 million. Net cash proceeds totaled approximately $139.6 million, resulting in a gain on sale of real estate of approximately</w:t>
      </w:r>
    </w:p>
    <w:p>
      <w:pPr>
        <w:ind w:left="560"/>
        <w:spacing w:after="0"/>
        <w:rPr>
          <w:rFonts w:ascii="Arial" w:cs="Arial" w:eastAsia="Arial" w:hAnsi="Arial"/>
          <w:sz w:val="16"/>
          <w:szCs w:val="16"/>
          <w:color w:val="auto"/>
        </w:rPr>
      </w:pPr>
      <w:r>
        <w:rPr>
          <w:rFonts w:ascii="Arial" w:cs="Arial" w:eastAsia="Arial" w:hAnsi="Arial"/>
          <w:sz w:val="16"/>
          <w:szCs w:val="16"/>
          <w:color w:val="auto"/>
        </w:rPr>
        <w:t>$55.6 million for BXP and BPLP. The Avant at Reston Town Center is a 15-story, 359-unit, luxury multifamily building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 w:right="280"/>
        <w:spacing w:after="0" w:line="253" w:lineRule="auto"/>
        <w:rPr>
          <w:sz w:val="20"/>
          <w:szCs w:val="20"/>
          <w:color w:val="auto"/>
        </w:rPr>
      </w:pPr>
      <w:r>
        <w:rPr>
          <w:rFonts w:ascii="Arial" w:cs="Arial" w:eastAsia="Arial" w:hAnsi="Arial"/>
          <w:sz w:val="16"/>
          <w:szCs w:val="16"/>
          <w:color w:val="auto"/>
        </w:rPr>
        <w:t>consisting of approximately 329,000 net rentable square feet, excluding retail space. We retained ownership of the approximately 26,000 square foot ground-level retail space.</w:t>
      </w:r>
    </w:p>
    <w:p>
      <w:pPr>
        <w:spacing w:after="0" w:line="134" w:lineRule="exact"/>
        <w:rPr>
          <w:sz w:val="20"/>
          <w:szCs w:val="20"/>
          <w:color w:val="auto"/>
        </w:rPr>
      </w:pPr>
    </w:p>
    <w:p>
      <w:pPr>
        <w:ind w:left="560" w:right="300"/>
        <w:spacing w:after="0" w:line="286" w:lineRule="auto"/>
        <w:rPr>
          <w:sz w:val="20"/>
          <w:szCs w:val="20"/>
          <w:color w:val="auto"/>
        </w:rPr>
      </w:pPr>
      <w:r>
        <w:rPr>
          <w:rFonts w:ascii="Arial" w:cs="Arial" w:eastAsia="Arial" w:hAnsi="Arial"/>
          <w:sz w:val="15"/>
          <w:szCs w:val="15"/>
          <w:color w:val="auto"/>
        </w:rPr>
        <w:t>On September 15, 2022, we completed the sale of two parcels of land located in Loudoun County, Virginia for a gross sale price of $27.0 million. Net cash proceeds totaled approximately $25.6 million, resulting in a gain on sale of real estate totaling approximately $24.4 million for BXP and BPLP.</w:t>
      </w:r>
    </w:p>
    <w:p>
      <w:pPr>
        <w:spacing w:after="0" w:line="110"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On August 30, 2022, we completed the sale of 601 Massachusetts Avenue located in Washington, DC for a gross sale price of $531.0 million. Net cash proceeds totaled approximately $512.3 million, resulting in a gain on sale of real estate of approximately $237.4 million for BXP and approximately $237.5 million for BPLP. 601 Massachusetts Avenue is an approximately 479,000 net rentable square foot premier workplace.</w:t>
      </w:r>
    </w:p>
    <w:p>
      <w:pPr>
        <w:spacing w:after="0" w:line="136" w:lineRule="exact"/>
        <w:rPr>
          <w:sz w:val="20"/>
          <w:szCs w:val="20"/>
          <w:color w:val="auto"/>
        </w:rPr>
      </w:pPr>
    </w:p>
    <w:p>
      <w:pPr>
        <w:ind w:left="560" w:right="140"/>
        <w:spacing w:after="0" w:line="249" w:lineRule="auto"/>
        <w:rPr>
          <w:sz w:val="20"/>
          <w:szCs w:val="20"/>
          <w:color w:val="auto"/>
        </w:rPr>
      </w:pPr>
      <w:r>
        <w:rPr>
          <w:rFonts w:ascii="Arial" w:cs="Arial" w:eastAsia="Arial" w:hAnsi="Arial"/>
          <w:sz w:val="16"/>
          <w:szCs w:val="16"/>
          <w:color w:val="auto"/>
        </w:rPr>
        <w:t>On June 15, 2022, we completed the sale of our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office/flex properties aggregating approximately 733,000 net rentable square feet.</w:t>
      </w:r>
    </w:p>
    <w:p>
      <w:pPr>
        <w:spacing w:after="0" w:line="137" w:lineRule="exact"/>
        <w:rPr>
          <w:sz w:val="20"/>
          <w:szCs w:val="20"/>
          <w:color w:val="auto"/>
        </w:rPr>
      </w:pPr>
    </w:p>
    <w:p>
      <w:pPr>
        <w:ind w:left="560" w:right="260"/>
        <w:spacing w:after="0" w:line="250" w:lineRule="auto"/>
        <w:rPr>
          <w:sz w:val="20"/>
          <w:szCs w:val="20"/>
          <w:color w:val="auto"/>
        </w:rPr>
      </w:pPr>
      <w:r>
        <w:rPr>
          <w:rFonts w:ascii="Arial" w:cs="Arial" w:eastAsia="Arial" w:hAnsi="Arial"/>
          <w:sz w:val="16"/>
          <w:szCs w:val="16"/>
          <w:color w:val="auto"/>
        </w:rPr>
        <w:t>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office property.</w:t>
      </w:r>
    </w:p>
    <w:p>
      <w:pPr>
        <w:spacing w:after="0" w:line="136" w:lineRule="exact"/>
        <w:rPr>
          <w:sz w:val="20"/>
          <w:szCs w:val="20"/>
          <w:color w:val="auto"/>
        </w:rPr>
      </w:pPr>
    </w:p>
    <w:p>
      <w:pPr>
        <w:ind w:left="560" w:right="340"/>
        <w:spacing w:after="0" w:line="249" w:lineRule="auto"/>
        <w:rPr>
          <w:sz w:val="20"/>
          <w:szCs w:val="20"/>
          <w:color w:val="auto"/>
        </w:rPr>
      </w:pPr>
      <w:r>
        <w:rPr>
          <w:rFonts w:ascii="Arial" w:cs="Arial" w:eastAsia="Arial" w:hAnsi="Arial"/>
          <w:sz w:val="16"/>
          <w:szCs w:val="16"/>
          <w:color w:val="auto"/>
        </w:rPr>
        <w:t>On October 25, 2021, we completed the sale of our 181,191 and 201 Spring Street properties located in Lexington, Massachusetts for an aggregate gross sales price of $191.5 million. Net cash proceeds totaled approximately $179.9 million, resulting in a gain on sale of real estate totaling approximately $115.6 million for BXP and approximately $117.1 million for BPLP. 181,191 and 201 Spring Street are three Class A office properties aggregating approximately 333,000 net rentable square feet.</w:t>
      </w:r>
    </w:p>
    <w:p>
      <w:pPr>
        <w:spacing w:after="0" w:line="137" w:lineRule="exact"/>
        <w:rPr>
          <w:sz w:val="20"/>
          <w:szCs w:val="20"/>
          <w:color w:val="auto"/>
        </w:rPr>
      </w:pPr>
    </w:p>
    <w:p>
      <w:pPr>
        <w:ind w:left="560" w:right="220" w:hanging="281"/>
        <w:spacing w:after="0" w:line="249" w:lineRule="auto"/>
        <w:tabs>
          <w:tab w:leader="none" w:pos="5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w:t>
      </w:r>
    </w:p>
    <w:p>
      <w:pPr>
        <w:spacing w:after="0" w:line="137" w:lineRule="exact"/>
        <w:rPr>
          <w:rFonts w:ascii="Arial" w:cs="Arial" w:eastAsia="Arial" w:hAnsi="Arial"/>
          <w:sz w:val="16"/>
          <w:szCs w:val="16"/>
          <w:color w:val="auto"/>
        </w:rPr>
      </w:pPr>
    </w:p>
    <w:p>
      <w:pPr>
        <w:jc w:val="both"/>
        <w:ind w:left="560" w:right="140" w:hanging="281"/>
        <w:spacing w:after="0" w:line="275" w:lineRule="auto"/>
        <w:tabs>
          <w:tab w:leader="none" w:pos="552" w:val="left"/>
        </w:tabs>
        <w:numPr>
          <w:ilvl w:val="0"/>
          <w:numId w:val="85"/>
        </w:numPr>
        <w:rPr>
          <w:rFonts w:ascii="Arial" w:cs="Arial" w:eastAsia="Arial" w:hAnsi="Arial"/>
          <w:sz w:val="15"/>
          <w:szCs w:val="15"/>
          <w:color w:val="auto"/>
        </w:rPr>
      </w:pPr>
      <w:r>
        <w:rPr>
          <w:rFonts w:ascii="Arial" w:cs="Arial" w:eastAsia="Arial" w:hAnsi="Arial"/>
          <w:sz w:val="15"/>
          <w:szCs w:val="15"/>
          <w:color w:val="auto"/>
        </w:rPr>
        <w:t>Capital contributions to unconsolidated joint ventures for the year ended December 31, 2022 consisted primarily of cash contributions of approximately $120.8 million, $56.9 million, $45.2 million and $24.7 million to our 200 Fifth Avenue, Gateway Commons, Platform 16 and 751 Gateway joint ventures, respectively. On November 17, 2022, we entered into a new joint venture for 200 Fifth Avenue located in New York, New York.</w:t>
      </w:r>
    </w:p>
    <w:p>
      <w:pPr>
        <w:spacing w:after="0" w:line="118" w:lineRule="exact"/>
        <w:rPr>
          <w:rFonts w:ascii="Arial" w:cs="Arial" w:eastAsia="Arial" w:hAnsi="Arial"/>
          <w:sz w:val="15"/>
          <w:szCs w:val="15"/>
          <w:color w:val="auto"/>
        </w:rPr>
      </w:pPr>
    </w:p>
    <w:p>
      <w:pPr>
        <w:ind w:left="560"/>
        <w:spacing w:after="0" w:line="250" w:lineRule="auto"/>
        <w:rPr>
          <w:rFonts w:ascii="Arial" w:cs="Arial" w:eastAsia="Arial" w:hAnsi="Arial"/>
          <w:sz w:val="15"/>
          <w:szCs w:val="15"/>
          <w:color w:val="auto"/>
        </w:rPr>
      </w:pPr>
      <w:r>
        <w:rPr>
          <w:rFonts w:ascii="Arial" w:cs="Arial" w:eastAsia="Arial" w:hAnsi="Arial"/>
          <w:sz w:val="16"/>
          <w:szCs w:val="16"/>
          <w:color w:val="auto"/>
        </w:rPr>
        <w:t>Capital contributions to unconsolidated joint ventures for the year ended December 31, 2021 consisted primarily of cash contributions of approximately $73.0 million and $11.4 million to our Safeco Plaza and Santa Monica Business Park joint ventures, respectively. On September 1, 2021, we entered into a new joint venture for Safeco Plaza located in Seattle, Washington.</w:t>
      </w:r>
    </w:p>
    <w:p>
      <w:pPr>
        <w:spacing w:after="0" w:line="136" w:lineRule="exact"/>
        <w:rPr>
          <w:rFonts w:ascii="Arial" w:cs="Arial" w:eastAsia="Arial" w:hAnsi="Arial"/>
          <w:sz w:val="15"/>
          <w:szCs w:val="15"/>
          <w:color w:val="auto"/>
        </w:rPr>
      </w:pPr>
    </w:p>
    <w:p>
      <w:pPr>
        <w:ind w:left="560" w:right="740" w:hanging="281"/>
        <w:spacing w:after="0" w:line="286" w:lineRule="auto"/>
        <w:tabs>
          <w:tab w:leader="none" w:pos="552" w:val="left"/>
        </w:tabs>
        <w:numPr>
          <w:ilvl w:val="0"/>
          <w:numId w:val="85"/>
        </w:numPr>
        <w:rPr>
          <w:rFonts w:ascii="Arial" w:cs="Arial" w:eastAsia="Arial" w:hAnsi="Arial"/>
          <w:sz w:val="15"/>
          <w:szCs w:val="15"/>
          <w:color w:val="auto"/>
        </w:rPr>
      </w:pPr>
      <w:r>
        <w:rPr>
          <w:rFonts w:ascii="Arial" w:cs="Arial" w:eastAsia="Arial" w:hAnsi="Arial"/>
          <w:sz w:val="15"/>
          <w:szCs w:val="15"/>
          <w:color w:val="auto"/>
        </w:rPr>
        <w:t>Capital distributions from unconsolidated joint ventures for the year ended December 31, 2022 consisted primarily of cash distributions totaling approximately $21.6 million and $11.6 million from our Metropolitan Square and 7750 Wisconsin Avenue joint ventures, respectively.</w:t>
      </w:r>
    </w:p>
    <w:p>
      <w:pPr>
        <w:spacing w:after="0" w:line="110" w:lineRule="exact"/>
        <w:rPr>
          <w:rFonts w:ascii="Arial" w:cs="Arial" w:eastAsia="Arial" w:hAnsi="Arial"/>
          <w:sz w:val="15"/>
          <w:szCs w:val="15"/>
          <w:color w:val="auto"/>
        </w:rPr>
      </w:pPr>
    </w:p>
    <w:p>
      <w:pPr>
        <w:ind w:left="560" w:right="260" w:hanging="281"/>
        <w:spacing w:after="0" w:line="250" w:lineRule="auto"/>
        <w:tabs>
          <w:tab w:leader="none" w:pos="5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March 30, 2021, we completed the sale of our 50% ownership interest in Annapolis Junction NFM LLC to the joint venture partner for a gross sale price of $65.9 million. Net cash proceeds to us totaled approximately $17.8 million after repayment of our share of debt totaling approximately $15.1 million.</w:t>
      </w:r>
    </w:p>
    <w:p>
      <w:pPr>
        <w:spacing w:after="0" w:line="136" w:lineRule="exact"/>
        <w:rPr>
          <w:rFonts w:ascii="Arial" w:cs="Arial" w:eastAsia="Arial" w:hAnsi="Arial"/>
          <w:sz w:val="16"/>
          <w:szCs w:val="16"/>
          <w:color w:val="auto"/>
        </w:rPr>
      </w:pPr>
    </w:p>
    <w:p>
      <w:pPr>
        <w:ind w:left="560" w:right="220" w:hanging="281"/>
        <w:spacing w:after="0" w:line="286" w:lineRule="auto"/>
        <w:tabs>
          <w:tab w:leader="none" w:pos="552" w:val="left"/>
        </w:tabs>
        <w:numPr>
          <w:ilvl w:val="0"/>
          <w:numId w:val="85"/>
        </w:numPr>
        <w:rPr>
          <w:rFonts w:ascii="Arial" w:cs="Arial" w:eastAsia="Arial" w:hAnsi="Arial"/>
          <w:sz w:val="15"/>
          <w:szCs w:val="15"/>
          <w:color w:val="auto"/>
        </w:rPr>
      </w:pPr>
      <w:r>
        <w:rPr>
          <w:rFonts w:ascii="Arial" w:cs="Arial" w:eastAsia="Arial" w:hAnsi="Arial"/>
          <w:sz w:val="15"/>
          <w:szCs w:val="15"/>
          <w:color w:val="auto"/>
        </w:rPr>
        <w:t>We invest in a non-real estate fund, which is primarily an environmentally focused investment fund, with an aggregate commitment to contribute $10.0 million. As of December 31, 2022, we have contributed $2.4 million, which includes required fees, with $7.8 million remaining to be contributed.</w:t>
      </w:r>
    </w:p>
    <w:p>
      <w:pPr>
        <w:spacing w:after="0" w:line="110" w:lineRule="exact"/>
        <w:rPr>
          <w:rFonts w:ascii="Arial" w:cs="Arial" w:eastAsia="Arial" w:hAnsi="Arial"/>
          <w:sz w:val="15"/>
          <w:szCs w:val="15"/>
          <w:color w:val="auto"/>
        </w:rPr>
      </w:pPr>
    </w:p>
    <w:p>
      <w:pPr>
        <w:ind w:left="560" w:right="240" w:hanging="281"/>
        <w:spacing w:after="0" w:line="250" w:lineRule="auto"/>
        <w:tabs>
          <w:tab w:leader="none" w:pos="5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affiliate of The Bernstein Companies exercised its option to borrow $10.0 million from us, and we provided the financing on June 1, 2020. The financing bore interest at a fixed rate of 8.00% per annum, compounded monthly, and was scheduled to mature on the fifth anniversary of the date on which the base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 w:right="160"/>
        <w:spacing w:after="0" w:line="253" w:lineRule="auto"/>
        <w:rPr>
          <w:sz w:val="20"/>
          <w:szCs w:val="20"/>
          <w:color w:val="auto"/>
        </w:rPr>
      </w:pPr>
      <w:r>
        <w:rPr>
          <w:rFonts w:ascii="Arial" w:cs="Arial" w:eastAsia="Arial" w:hAnsi="Arial"/>
          <w:sz w:val="16"/>
          <w:szCs w:val="16"/>
          <w:color w:val="auto"/>
        </w:rPr>
        <w:t>building of the affiliate of The Bernstein Companies’ hotel property was substantially completed. On June 27, 2022, the borrower repaid the loan in full, including approximately $1.6 million of accrued interest.</w:t>
      </w:r>
    </w:p>
    <w:p>
      <w:pPr>
        <w:spacing w:after="0" w:line="134" w:lineRule="exact"/>
        <w:rPr>
          <w:sz w:val="20"/>
          <w:szCs w:val="20"/>
          <w:color w:val="auto"/>
        </w:rPr>
      </w:pPr>
    </w:p>
    <w:p>
      <w:pPr>
        <w:ind w:left="560" w:right="200"/>
        <w:spacing w:after="0" w:line="250" w:lineRule="auto"/>
        <w:rPr>
          <w:sz w:val="20"/>
          <w:szCs w:val="20"/>
          <w:color w:val="auto"/>
        </w:rPr>
      </w:pPr>
      <w:r>
        <w:rPr>
          <w:rFonts w:ascii="Arial" w:cs="Arial" w:eastAsia="Arial" w:hAnsi="Arial"/>
          <w:sz w:val="16"/>
          <w:szCs w:val="16"/>
          <w:color w:val="auto"/>
        </w:rPr>
        <w:t>Proceeds from note receivable consists of the final repayment of a note receivable provided by us to the buyer in connection with the sale of land at our Tower Oaks property located in Rockville, Maryland, which was collateralized by a portion of the land parcel, bore interest at an effective rate of 1.92% per annum and matured on December 20, 2021.</w:t>
      </w:r>
    </w:p>
    <w:p>
      <w:pPr>
        <w:spacing w:after="0" w:line="136" w:lineRule="exact"/>
        <w:rPr>
          <w:sz w:val="20"/>
          <w:szCs w:val="20"/>
          <w:color w:val="auto"/>
        </w:rPr>
      </w:pPr>
    </w:p>
    <w:p>
      <w:pPr>
        <w:ind w:right="40" w:firstLine="356"/>
        <w:spacing w:after="0" w:line="271" w:lineRule="auto"/>
        <w:rPr>
          <w:sz w:val="20"/>
          <w:szCs w:val="20"/>
          <w:color w:val="auto"/>
        </w:rPr>
      </w:pPr>
      <w:r>
        <w:rPr>
          <w:rFonts w:ascii="Arial" w:cs="Arial" w:eastAsia="Arial" w:hAnsi="Arial"/>
          <w:sz w:val="15"/>
          <w:szCs w:val="15"/>
          <w:color w:val="auto"/>
        </w:rPr>
        <w:t xml:space="preserve">Cash provided by financing activities for the year ended December 31, 2022 totaled approximately $556.1 million. This amount consisted primarily of borrowings under BPLP’s Revolving Facility and 2022 Unsecured Term Loan and the proceeds from the issuance by BPLP of $750 million in aggregate principal amount of its 6.75% unsecured senior notes due 2027, partially offset by the payment of our regular dividends and distributions to our shareholders and unitholders and distributions to noncontrolling interests in property partnerships. Future debt payments are discussed below under the heading </w:t>
      </w:r>
      <w:r>
        <w:rPr>
          <w:rFonts w:ascii="Arial" w:cs="Arial" w:eastAsia="Arial" w:hAnsi="Arial"/>
          <w:sz w:val="15"/>
          <w:szCs w:val="15"/>
          <w:i w:val="1"/>
          <w:iCs w:val="1"/>
          <w:color w:val="auto"/>
        </w:rPr>
        <w:t>“Debt Financing</w:t>
      </w:r>
      <w:r>
        <w:rPr>
          <w:rFonts w:ascii="Arial" w:cs="Arial" w:eastAsia="Arial" w:hAnsi="Arial"/>
          <w:sz w:val="15"/>
          <w:szCs w:val="15"/>
          <w:color w:val="auto"/>
        </w:rPr>
        <w: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Capitalization</w:t>
      </w:r>
    </w:p>
    <w:p>
      <w:pPr>
        <w:spacing w:after="0" w:line="95" w:lineRule="exact"/>
        <w:rPr>
          <w:sz w:val="20"/>
          <w:szCs w:val="20"/>
          <w:color w:val="auto"/>
        </w:rPr>
      </w:pPr>
    </w:p>
    <w:p>
      <w:pPr>
        <w:ind w:right="740" w:firstLine="391"/>
        <w:spacing w:after="0" w:line="250" w:lineRule="auto"/>
        <w:rPr>
          <w:sz w:val="20"/>
          <w:szCs w:val="20"/>
          <w:color w:val="auto"/>
        </w:rPr>
      </w:pPr>
      <w:r>
        <w:rPr>
          <w:rFonts w:ascii="Arial" w:cs="Arial" w:eastAsia="Arial" w:hAnsi="Arial"/>
          <w:sz w:val="16"/>
          <w:szCs w:val="16"/>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66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rPr>
              <w:t>Shares / Units</w:t>
            </w:r>
          </w:p>
        </w:tc>
        <w:tc>
          <w:tcPr>
            <w:tcW w:w="166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14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9"/>
              </w:rPr>
              <w:t>Equivalent Value (1)</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Equivalent</w:t>
            </w: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156,758</w:t>
            </w: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156,758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10,593,706</w:t>
            </w:r>
          </w:p>
        </w:tc>
        <w:tc>
          <w:tcPr>
            <w:tcW w:w="4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18,210</w:t>
            </w: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18,210</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1,230,632</w:t>
            </w:r>
          </w:p>
        </w:tc>
        <w:tc>
          <w:tcPr>
            <w:tcW w:w="420" w:type="dxa"/>
            <w:vAlign w:val="bottom"/>
            <w:tcBorders>
              <w:bottom w:val="single" w:sz="8" w:color="CCEEFF"/>
            </w:tcBorders>
          </w:tcPr>
          <w:p>
            <w:pPr>
              <w:jc w:val="right"/>
              <w:ind w:right="1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w:t>
            </w: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174,968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11,824,338</w:t>
            </w:r>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Debt</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14,240,336</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Pr>
          <w:p>
            <w:pPr>
              <w:ind w:left="20"/>
              <w:spacing w:after="0"/>
              <w:rPr>
                <w:sz w:val="20"/>
                <w:szCs w:val="20"/>
                <w:color w:val="auto"/>
              </w:rPr>
            </w:pPr>
            <w:r>
              <w:rPr>
                <w:rFonts w:ascii="Arial" w:cs="Arial" w:eastAsia="Arial" w:hAnsi="Arial"/>
                <w:sz w:val="14"/>
                <w:szCs w:val="14"/>
                <w:color w:val="auto"/>
              </w:rPr>
              <w:t>Add:</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unconsolidated joint venture debt (3)</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1,600,367</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Pr>
          <w:p>
            <w:pPr>
              <w:ind w:left="20"/>
              <w:spacing w:after="0"/>
              <w:rPr>
                <w:sz w:val="20"/>
                <w:szCs w:val="20"/>
                <w:color w:val="auto"/>
              </w:rPr>
            </w:pPr>
            <w:r>
              <w:rPr>
                <w:rFonts w:ascii="Arial" w:cs="Arial" w:eastAsia="Arial" w:hAnsi="Arial"/>
                <w:sz w:val="14"/>
                <w:szCs w:val="14"/>
                <w:color w:val="auto"/>
              </w:rPr>
              <w:t>Subtract:</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Partners’ share of Consolidated Debt (4)</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(1,358,395)</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00" w:type="dxa"/>
            <w:vAlign w:val="bottom"/>
          </w:tcPr>
          <w:p>
            <w:pPr>
              <w:ind w:left="20"/>
              <w:spacing w:after="0"/>
              <w:rPr>
                <w:sz w:val="20"/>
                <w:szCs w:val="20"/>
                <w:color w:val="auto"/>
              </w:rPr>
            </w:pPr>
            <w:r>
              <w:rPr>
                <w:rFonts w:ascii="Arial" w:cs="Arial" w:eastAsia="Arial" w:hAnsi="Arial"/>
                <w:sz w:val="14"/>
                <w:szCs w:val="14"/>
                <w:color w:val="auto"/>
              </w:rPr>
              <w:t>BXP’s Share of Debt</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14,482,308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Market Capitalization</w:t>
            </w:r>
          </w:p>
        </w:tc>
        <w:tc>
          <w:tcPr>
            <w:tcW w:w="14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26,064,674</w:t>
            </w:r>
          </w:p>
        </w:tc>
        <w:tc>
          <w:tcPr>
            <w:tcW w:w="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BXP’s Share of Market Capitalization</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26,306,646</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00" w:type="dxa"/>
            <w:vAlign w:val="bottom"/>
          </w:tcPr>
          <w:p>
            <w:pPr>
              <w:ind w:left="20"/>
              <w:spacing w:after="0"/>
              <w:rPr>
                <w:sz w:val="20"/>
                <w:szCs w:val="20"/>
                <w:color w:val="auto"/>
              </w:rPr>
            </w:pPr>
            <w:r>
              <w:rPr>
                <w:rFonts w:ascii="Arial" w:cs="Arial" w:eastAsia="Arial" w:hAnsi="Arial"/>
                <w:sz w:val="14"/>
                <w:szCs w:val="14"/>
                <w:color w:val="auto"/>
              </w:rPr>
              <w:t>Consolidated Debt/Consolidated Market Capitalization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54.63 %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BXP’s Share of Debt/BXP’s Share of Market Capitalization</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55.05 %</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 w:lineRule="exact"/>
        <w:rPr>
          <w:sz w:val="20"/>
          <w:szCs w:val="20"/>
          <w:color w:val="auto"/>
        </w:rPr>
      </w:pPr>
    </w:p>
    <w:p>
      <w:pPr>
        <w:ind w:left="560" w:hanging="281"/>
        <w:spacing w:after="0"/>
        <w:tabs>
          <w:tab w:leader="none" w:pos="5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Values are based on the closing price per share of BXP’s Common Stock on the New York Stock Exchange on December 30, 2022 of $67.58.</w:t>
      </w:r>
    </w:p>
    <w:p>
      <w:pPr>
        <w:spacing w:after="0" w:line="4" w:lineRule="exact"/>
        <w:rPr>
          <w:rFonts w:ascii="Arial" w:cs="Arial" w:eastAsia="Arial" w:hAnsi="Arial"/>
          <w:sz w:val="14"/>
          <w:szCs w:val="14"/>
          <w:color w:val="auto"/>
        </w:rPr>
      </w:pPr>
    </w:p>
    <w:p>
      <w:pPr>
        <w:ind w:left="560" w:right="220" w:hanging="281"/>
        <w:spacing w:after="0" w:line="256" w:lineRule="auto"/>
        <w:tabs>
          <w:tab w:leader="none" w:pos="556"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long-term incentive plan units (including 2012 OPP Units and 2013 - 2019 MYLTIP Units) but excludes the 2020 - 2022 MYLTIP Units because the three-year performance periods had not ended as of December 31, 2022.</w:t>
      </w:r>
    </w:p>
    <w:p>
      <w:pPr>
        <w:ind w:left="560" w:hanging="281"/>
        <w:spacing w:after="0"/>
        <w:tabs>
          <w:tab w:leader="none" w:pos="5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See page 95 for additional information.</w:t>
      </w:r>
    </w:p>
    <w:p>
      <w:pPr>
        <w:spacing w:after="0" w:line="16" w:lineRule="exact"/>
        <w:rPr>
          <w:rFonts w:ascii="Arial" w:cs="Arial" w:eastAsia="Arial" w:hAnsi="Arial"/>
          <w:sz w:val="14"/>
          <w:szCs w:val="14"/>
          <w:color w:val="auto"/>
        </w:rPr>
      </w:pPr>
    </w:p>
    <w:p>
      <w:pPr>
        <w:ind w:left="560" w:hanging="281"/>
        <w:spacing w:after="0"/>
        <w:tabs>
          <w:tab w:leader="none" w:pos="5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See page 94 for additional information.</w:t>
      </w:r>
    </w:p>
    <w:p>
      <w:pPr>
        <w:spacing w:after="0" w:line="299" w:lineRule="exact"/>
        <w:rPr>
          <w:sz w:val="20"/>
          <w:szCs w:val="20"/>
          <w:color w:val="auto"/>
        </w:rPr>
      </w:pPr>
    </w:p>
    <w:p>
      <w:pPr>
        <w:ind w:right="40" w:firstLine="356"/>
        <w:spacing w:after="0" w:line="250" w:lineRule="auto"/>
        <w:rPr>
          <w:sz w:val="20"/>
          <w:szCs w:val="20"/>
          <w:color w:val="auto"/>
        </w:rPr>
      </w:pPr>
      <w:r>
        <w:rPr>
          <w:rFonts w:ascii="Arial" w:cs="Arial" w:eastAsia="Arial" w:hAnsi="Arial"/>
          <w:sz w:val="16"/>
          <w:szCs w:val="16"/>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48" w:lineRule="exact"/>
        <w:rPr>
          <w:sz w:val="20"/>
          <w:szCs w:val="20"/>
          <w:color w:val="auto"/>
        </w:rPr>
      </w:pPr>
    </w:p>
    <w:p>
      <w:pPr>
        <w:ind w:left="980" w:hanging="416"/>
        <w:spacing w:after="0"/>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consolidated debt; plus</w:t>
      </w:r>
    </w:p>
    <w:p>
      <w:pPr>
        <w:spacing w:after="0" w:line="159" w:lineRule="exact"/>
        <w:rPr>
          <w:rFonts w:ascii="Arial" w:cs="Arial" w:eastAsia="Arial" w:hAnsi="Arial"/>
          <w:sz w:val="16"/>
          <w:szCs w:val="16"/>
          <w:color w:val="auto"/>
        </w:rPr>
      </w:pPr>
    </w:p>
    <w:p>
      <w:pPr>
        <w:ind w:right="540" w:firstLine="564"/>
        <w:spacing w:after="0" w:line="253" w:lineRule="auto"/>
        <w:tabs>
          <w:tab w:leader="none" w:pos="9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product of (x) the closing price per share of BXP Common Stock on December 31, 2022, as reported by the New York Stock Exchange, multiplied by (y) the sum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1500" w:hanging="368"/>
        <w:spacing w:after="0"/>
        <w:tabs>
          <w:tab w:leader="none" w:pos="15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number of outstanding shares of Common Stock of BXP,</w:t>
      </w:r>
    </w:p>
    <w:p>
      <w:pPr>
        <w:spacing w:after="0" w:line="159" w:lineRule="exact"/>
        <w:rPr>
          <w:rFonts w:ascii="Arial" w:cs="Arial" w:eastAsia="Arial" w:hAnsi="Arial"/>
          <w:sz w:val="16"/>
          <w:szCs w:val="16"/>
          <w:color w:val="auto"/>
        </w:rPr>
      </w:pPr>
    </w:p>
    <w:p>
      <w:pPr>
        <w:ind w:left="1520" w:hanging="388"/>
        <w:spacing w:after="0"/>
        <w:tabs>
          <w:tab w:leader="none" w:pos="1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number of outstanding OP Units in BPLP (excluding OP Units held by BXP),</w:t>
      </w:r>
    </w:p>
    <w:p>
      <w:pPr>
        <w:spacing w:after="0" w:line="171" w:lineRule="exact"/>
        <w:rPr>
          <w:rFonts w:ascii="Arial" w:cs="Arial" w:eastAsia="Arial" w:hAnsi="Arial"/>
          <w:sz w:val="16"/>
          <w:szCs w:val="16"/>
          <w:color w:val="auto"/>
        </w:rPr>
      </w:pPr>
    </w:p>
    <w:p>
      <w:pPr>
        <w:ind w:left="1700" w:right="80" w:hanging="568"/>
        <w:spacing w:after="0" w:line="253" w:lineRule="auto"/>
        <w:tabs>
          <w:tab w:leader="none" w:pos="156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number of OP Units issuable upon conversion of all outstanding LTIP Units, assuming all conditions have been met for the conversion of the LTIP Units, and</w:t>
      </w:r>
    </w:p>
    <w:p>
      <w:pPr>
        <w:spacing w:after="0" w:line="145" w:lineRule="exact"/>
        <w:rPr>
          <w:rFonts w:ascii="Arial" w:cs="Arial" w:eastAsia="Arial" w:hAnsi="Arial"/>
          <w:sz w:val="16"/>
          <w:szCs w:val="16"/>
          <w:color w:val="auto"/>
        </w:rPr>
      </w:pPr>
    </w:p>
    <w:p>
      <w:pPr>
        <w:ind w:left="1700" w:right="60" w:hanging="568"/>
        <w:spacing w:after="0" w:line="253" w:lineRule="auto"/>
        <w:tabs>
          <w:tab w:leader="none" w:pos="157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number of OP Units issuable upon conversion of 2012 OPP Units, and 2013 - 2019 MYLTIP Units that were issued in the form of LTIP Units.</w:t>
      </w:r>
    </w:p>
    <w:p>
      <w:pPr>
        <w:spacing w:after="0" w:line="145" w:lineRule="exact"/>
        <w:rPr>
          <w:sz w:val="20"/>
          <w:szCs w:val="20"/>
          <w:color w:val="auto"/>
        </w:rPr>
      </w:pPr>
    </w:p>
    <w:p>
      <w:pPr>
        <w:ind w:right="40" w:firstLine="356"/>
        <w:spacing w:after="0" w:line="250" w:lineRule="auto"/>
        <w:rPr>
          <w:sz w:val="20"/>
          <w:szCs w:val="20"/>
          <w:color w:val="auto"/>
        </w:rPr>
      </w:pPr>
      <w:r>
        <w:rPr>
          <w:rFonts w:ascii="Arial" w:cs="Arial" w:eastAsia="Arial" w:hAnsi="Arial"/>
          <w:sz w:val="16"/>
          <w:szCs w:val="16"/>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2020 - 2022 MYLTIP Units are not included in this calculation as of December 31, 2022.</w:t>
      </w:r>
    </w:p>
    <w:p>
      <w:pPr>
        <w:spacing w:after="0" w:line="160" w:lineRule="exact"/>
        <w:rPr>
          <w:sz w:val="20"/>
          <w:szCs w:val="20"/>
          <w:color w:val="auto"/>
        </w:rPr>
      </w:pPr>
    </w:p>
    <w:p>
      <w:pPr>
        <w:ind w:firstLine="356"/>
        <w:spacing w:after="0" w:line="247" w:lineRule="auto"/>
        <w:rPr>
          <w:sz w:val="20"/>
          <w:szCs w:val="20"/>
          <w:color w:val="auto"/>
        </w:rPr>
      </w:pPr>
      <w:r>
        <w:rPr>
          <w:rFonts w:ascii="Arial" w:cs="Arial" w:eastAsia="Arial" w:hAnsi="Arial"/>
          <w:sz w:val="16"/>
          <w:szCs w:val="16"/>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46" w:lineRule="exact"/>
        <w:rPr>
          <w:sz w:val="20"/>
          <w:szCs w:val="20"/>
          <w:color w:val="auto"/>
        </w:rPr>
      </w:pPr>
    </w:p>
    <w:p>
      <w:pPr>
        <w:ind w:right="120" w:firstLine="356"/>
        <w:spacing w:after="0" w:line="248" w:lineRule="auto"/>
        <w:rPr>
          <w:sz w:val="20"/>
          <w:szCs w:val="20"/>
          <w:color w:val="auto"/>
        </w:rPr>
      </w:pPr>
      <w:r>
        <w:rPr>
          <w:rFonts w:ascii="Arial" w:cs="Arial" w:eastAsia="Arial" w:hAnsi="Arial"/>
          <w:sz w:val="16"/>
          <w:szCs w:val="16"/>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23" w:lineRule="exact"/>
        <w:rPr>
          <w:sz w:val="20"/>
          <w:szCs w:val="20"/>
          <w:color w:val="auto"/>
        </w:rPr>
      </w:pPr>
    </w:p>
    <w:p>
      <w:pPr>
        <w:ind w:firstLine="356"/>
        <w:spacing w:after="0" w:line="256" w:lineRule="auto"/>
        <w:rPr>
          <w:sz w:val="20"/>
          <w:szCs w:val="20"/>
          <w:color w:val="auto"/>
        </w:rPr>
      </w:pPr>
      <w:r>
        <w:rPr>
          <w:rFonts w:ascii="Arial" w:cs="Arial" w:eastAsia="Arial" w:hAnsi="Arial"/>
          <w:sz w:val="16"/>
          <w:szCs w:val="16"/>
          <w:color w:val="auto"/>
        </w:rPr>
        <w:t>For a discussion of our unconsolidated joint venture indebtedness, see “</w:t>
      </w:r>
      <w:r>
        <w:rPr>
          <w:rFonts w:ascii="Arial" w:cs="Arial" w:eastAsia="Arial" w:hAnsi="Arial"/>
          <w:sz w:val="16"/>
          <w:szCs w:val="16"/>
          <w:i w:val="1"/>
          <w:iCs w:val="1"/>
          <w:color w:val="auto"/>
        </w:rPr>
        <w:t>Liquidity and Capital Resources—Investment in Unconsolidated Joint Ventures -</w:t>
      </w:r>
      <w:r>
        <w:rPr>
          <w:rFonts w:ascii="Arial" w:cs="Arial" w:eastAsia="Arial" w:hAnsi="Arial"/>
          <w:sz w:val="16"/>
          <w:szCs w:val="16"/>
          <w:color w:val="auto"/>
        </w:rPr>
        <w:t xml:space="preserve"> </w:t>
      </w:r>
      <w:r>
        <w:rPr>
          <w:rFonts w:ascii="Arial" w:cs="Arial" w:eastAsia="Arial" w:hAnsi="Arial"/>
          <w:sz w:val="16"/>
          <w:szCs w:val="16"/>
          <w:i w:val="1"/>
          <w:iCs w:val="1"/>
          <w:color w:val="auto"/>
        </w:rPr>
        <w:t>Secured Debt” w</w:t>
      </w:r>
      <w:r>
        <w:rPr>
          <w:rFonts w:ascii="Arial" w:cs="Arial" w:eastAsia="Arial" w:hAnsi="Arial"/>
          <w:sz w:val="16"/>
          <w:szCs w:val="16"/>
          <w:color w:val="auto"/>
        </w:rPr>
        <w:t>ithin “</w:t>
      </w:r>
      <w:r>
        <w:rPr>
          <w:rFonts w:ascii="Arial" w:cs="Arial" w:eastAsia="Arial" w:hAnsi="Arial"/>
          <w:sz w:val="16"/>
          <w:szCs w:val="16"/>
          <w:i w:val="1"/>
          <w:iCs w:val="1"/>
          <w:color w:val="auto"/>
        </w:rPr>
        <w:t>Item 7—Management’s Discussion and Analysis of Financial Condition and Results of Operations</w:t>
      </w:r>
      <w:r>
        <w:rPr>
          <w:rFonts w:ascii="Arial" w:cs="Arial" w:eastAsia="Arial" w:hAnsi="Arial"/>
          <w:sz w:val="16"/>
          <w:szCs w:val="16"/>
          <w:color w:val="auto"/>
        </w:rPr>
        <w:t>” and for a discussion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joint venture indebtedness see </w:t>
      </w:r>
      <w:r>
        <w:rPr>
          <w:rFonts w:ascii="Arial" w:cs="Arial" w:eastAsia="Arial" w:hAnsi="Arial"/>
          <w:sz w:val="16"/>
          <w:szCs w:val="16"/>
          <w:i w:val="1"/>
          <w:iCs w:val="1"/>
          <w:color w:val="auto"/>
        </w:rPr>
        <w:t>“Liquidity and Capital Resources—Mortgage Notes Payable</w:t>
      </w:r>
      <w:r>
        <w:rPr>
          <w:rFonts w:ascii="Arial" w:cs="Arial" w:eastAsia="Arial" w:hAnsi="Arial"/>
          <w:sz w:val="16"/>
          <w:szCs w:val="16"/>
          <w:color w:val="auto"/>
        </w:rPr>
        <w:t>” within “</w:t>
      </w:r>
      <w:r>
        <w:rPr>
          <w:rFonts w:ascii="Arial" w:cs="Arial" w:eastAsia="Arial" w:hAnsi="Arial"/>
          <w:sz w:val="16"/>
          <w:szCs w:val="16"/>
          <w:i w:val="1"/>
          <w:iCs w:val="1"/>
          <w:color w:val="auto"/>
        </w:rPr>
        <w:t>Item 7—Management’s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Debt Financing</w:t>
      </w:r>
    </w:p>
    <w:p>
      <w:pPr>
        <w:spacing w:after="0" w:line="95" w:lineRule="exact"/>
        <w:rPr>
          <w:sz w:val="20"/>
          <w:szCs w:val="20"/>
          <w:color w:val="auto"/>
        </w:rPr>
      </w:pPr>
    </w:p>
    <w:p>
      <w:pPr>
        <w:ind w:right="420" w:firstLine="391"/>
        <w:spacing w:after="0" w:line="250" w:lineRule="auto"/>
        <w:rPr>
          <w:sz w:val="20"/>
          <w:szCs w:val="20"/>
          <w:color w:val="auto"/>
        </w:rPr>
      </w:pPr>
      <w:r>
        <w:rPr>
          <w:rFonts w:ascii="Arial" w:cs="Arial" w:eastAsia="Arial" w:hAnsi="Arial"/>
          <w:sz w:val="16"/>
          <w:szCs w:val="16"/>
          <w:color w:val="auto"/>
        </w:rPr>
        <w:t>As of December 31, 2022, we had approximately $14.2 billion of outstanding consolidated indebtedness, representing approximately 54.63% of our Consolidated Market Capitalization as calculated above consisting of approximately (1) $10.2 billion (net of discount and deferred financing fees) in publicly traded unsecured senior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notes having a GAAP weighted-average interest rate of 3.69% per annum and maturities in 2023 through 2033, (2) $3.3 billion (net of deferred financing fees)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property-specific mortgage debt having a GAAP weighted-average interest rate of 3.42% per annum and a weighted-average term of 5.8 years and (3)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$730.0 million outstanding under BPLP’s 2022 Unsecured Term Loan that was scheduled to mature on May 16, 2023 and was repaid subsequent to December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31, 2022 (See Notes 7 and 16 to the Consolidated Financial Statements).</w:t>
      </w:r>
    </w:p>
    <w:p>
      <w:pPr>
        <w:spacing w:after="0" w:line="148" w:lineRule="exact"/>
        <w:rPr>
          <w:sz w:val="20"/>
          <w:szCs w:val="20"/>
          <w:color w:val="auto"/>
        </w:rPr>
      </w:pPr>
    </w:p>
    <w:p>
      <w:pPr>
        <w:ind w:firstLine="356"/>
        <w:spacing w:after="0" w:line="253" w:lineRule="auto"/>
        <w:rPr>
          <w:sz w:val="20"/>
          <w:szCs w:val="20"/>
          <w:color w:val="auto"/>
        </w:rPr>
      </w:pPr>
      <w:r>
        <w:rPr>
          <w:rFonts w:ascii="Arial" w:cs="Arial" w:eastAsia="Arial" w:hAnsi="Arial"/>
          <w:sz w:val="16"/>
          <w:szCs w:val="16"/>
          <w:color w:val="auto"/>
        </w:rPr>
        <w:t>The table below summarizes the aggregate carrying value of our mortgage notes payable and BPLP’s unsecured senior notes, line of credit, and unsecured term loan, as well as Consolidated Debt Financing Statistics at December 31, 2022 and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194"/>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r>
      <w:tr>
        <w:trPr>
          <w:trHeight w:val="193"/>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801"/>
              <w:spacing w:after="0"/>
              <w:rPr>
                <w:sz w:val="20"/>
                <w:szCs w:val="20"/>
                <w:color w:val="auto"/>
              </w:rPr>
            </w:pPr>
            <w:r>
              <w:rPr>
                <w:rFonts w:ascii="Arial" w:cs="Arial" w:eastAsia="Arial" w:hAnsi="Arial"/>
                <w:sz w:val="16"/>
                <w:szCs w:val="16"/>
                <w:b w:val="1"/>
                <w:bCs w:val="1"/>
                <w:color w:val="auto"/>
              </w:rPr>
              <w:t>(dollars in thousands)</w:t>
            </w:r>
          </w:p>
        </w:tc>
      </w:tr>
      <w:tr>
        <w:trPr>
          <w:trHeight w:val="201"/>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Summary:</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6"/>
                <w:szCs w:val="16"/>
                <w:color w:val="auto"/>
              </w:rPr>
              <w:t>Balance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rate mortgage notes payable, net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3,272,368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3,267,914</w:t>
            </w:r>
          </w:p>
        </w:tc>
      </w:tr>
      <w:tr>
        <w:trPr>
          <w:trHeight w:val="201"/>
        </w:trPr>
        <w:tc>
          <w:tcPr>
            <w:tcW w:w="7800" w:type="dxa"/>
            <w:vAlign w:val="bottom"/>
          </w:tcPr>
          <w:p>
            <w:pPr>
              <w:ind w:left="300"/>
              <w:spacing w:after="0"/>
              <w:rPr>
                <w:sz w:val="20"/>
                <w:szCs w:val="20"/>
                <w:color w:val="auto"/>
              </w:rPr>
            </w:pPr>
            <w:r>
              <w:rPr>
                <w:rFonts w:ascii="Arial" w:cs="Arial" w:eastAsia="Arial" w:hAnsi="Arial"/>
                <w:sz w:val="16"/>
                <w:szCs w:val="16"/>
                <w:color w:val="auto"/>
              </w:rPr>
              <w:t>Unsecured senior notes, net</w:t>
            </w:r>
          </w:p>
        </w:tc>
        <w:tc>
          <w:tcPr>
            <w:tcW w:w="380" w:type="dxa"/>
            <w:vAlign w:val="bottom"/>
          </w:tcPr>
          <w:p>
            <w:pPr>
              <w:spacing w:after="0"/>
              <w:rPr>
                <w:sz w:val="17"/>
                <w:szCs w:val="17"/>
                <w:color w:val="auto"/>
              </w:rPr>
            </w:pP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10,237,968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9,483,695</w:t>
            </w: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Unsecured line of credit</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145,000</w:t>
            </w:r>
          </w:p>
        </w:tc>
      </w:tr>
      <w:tr>
        <w:trPr>
          <w:trHeight w:val="201"/>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Unsecured term loan,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730,000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r>
      <w:tr>
        <w:trPr>
          <w:trHeight w:val="194"/>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Consolidated Debt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14,240,336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12,896,609</w:t>
            </w:r>
          </w:p>
        </w:tc>
      </w:tr>
      <w:tr>
        <w:trPr>
          <w:trHeight w:val="201"/>
        </w:trPr>
        <w:tc>
          <w:tcPr>
            <w:tcW w:w="7800" w:type="dxa"/>
            <w:vAlign w:val="bottom"/>
          </w:tcPr>
          <w:p>
            <w:pPr>
              <w:ind w:left="20"/>
              <w:spacing w:after="0"/>
              <w:rPr>
                <w:sz w:val="20"/>
                <w:szCs w:val="20"/>
                <w:color w:val="auto"/>
              </w:rPr>
            </w:pPr>
            <w:r>
              <w:rPr>
                <w:rFonts w:ascii="Arial" w:cs="Arial" w:eastAsia="Arial" w:hAnsi="Arial"/>
                <w:sz w:val="16"/>
                <w:szCs w:val="16"/>
                <w:color w:val="auto"/>
              </w:rPr>
              <w:t>Add:</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BXP’s share of unconsolidated joint venture debt, net (1)</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1,600,367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1,383,887</w:t>
            </w:r>
          </w:p>
        </w:tc>
      </w:tr>
      <w:tr>
        <w:trPr>
          <w:trHeight w:val="201"/>
        </w:trPr>
        <w:tc>
          <w:tcPr>
            <w:tcW w:w="7800" w:type="dxa"/>
            <w:vAlign w:val="bottom"/>
          </w:tcPr>
          <w:p>
            <w:pPr>
              <w:ind w:left="20"/>
              <w:spacing w:after="0"/>
              <w:rPr>
                <w:sz w:val="20"/>
                <w:szCs w:val="20"/>
                <w:color w:val="auto"/>
              </w:rPr>
            </w:pPr>
            <w:r>
              <w:rPr>
                <w:rFonts w:ascii="Arial" w:cs="Arial" w:eastAsia="Arial" w:hAnsi="Arial"/>
                <w:sz w:val="16"/>
                <w:szCs w:val="16"/>
                <w:color w:val="auto"/>
              </w:rPr>
              <w:t>Subtract:</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Partners’ share of consolidated mortgage notes payable, net (2)</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(1,358,395)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(1,356,579)</w:t>
            </w:r>
          </w:p>
        </w:tc>
      </w:tr>
      <w:tr>
        <w:trPr>
          <w:trHeight w:val="193"/>
        </w:trPr>
        <w:tc>
          <w:tcPr>
            <w:tcW w:w="7800" w:type="dxa"/>
            <w:vAlign w:val="bottom"/>
          </w:tcPr>
          <w:p>
            <w:pPr>
              <w:ind w:left="20"/>
              <w:spacing w:after="0" w:line="180" w:lineRule="exact"/>
              <w:rPr>
                <w:sz w:val="20"/>
                <w:szCs w:val="20"/>
                <w:color w:val="auto"/>
              </w:rPr>
            </w:pPr>
            <w:r>
              <w:rPr>
                <w:rFonts w:ascii="Arial" w:cs="Arial" w:eastAsia="Arial" w:hAnsi="Arial"/>
                <w:sz w:val="16"/>
                <w:szCs w:val="16"/>
                <w:color w:val="auto"/>
              </w:rPr>
              <w:t>BXP’s Share of Debt</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14,482,308</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12,923,917</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1"/>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Consolidated Debt Financing Statistics:</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6"/>
                <w:szCs w:val="16"/>
                <w:color w:val="auto"/>
              </w:rPr>
              <w:t>Percent of total debt: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rate</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98.88 %</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Variable rate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shd w:val="clear" w:color="auto" w:fill="CCEEFF"/>
          </w:tcPr>
          <w:p>
            <w:pPr>
              <w:ind w:left="580"/>
              <w:spacing w:after="0" w:line="181" w:lineRule="exact"/>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GAAP Weighted-average interest rate at end of period:</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rate</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Variable rate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4.85 %</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0.98 %</w:t>
            </w:r>
          </w:p>
        </w:tc>
        <w:tc>
          <w:tcPr>
            <w:tcW w:w="0" w:type="dxa"/>
            <w:vAlign w:val="bottom"/>
          </w:tcPr>
          <w:p>
            <w:pPr>
              <w:spacing w:after="0"/>
              <w:rPr>
                <w:sz w:val="1"/>
                <w:szCs w:val="1"/>
                <w:color w:val="auto"/>
              </w:rPr>
            </w:pPr>
          </w:p>
        </w:tc>
      </w:tr>
      <w:tr>
        <w:trPr>
          <w:trHeight w:val="194"/>
        </w:trPr>
        <w:tc>
          <w:tcPr>
            <w:tcW w:w="780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3.69 %</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181"/>
        </w:trPr>
        <w:tc>
          <w:tcPr>
            <w:tcW w:w="7800" w:type="dxa"/>
            <w:vAlign w:val="bottom"/>
          </w:tcPr>
          <w:p>
            <w:pPr>
              <w:ind w:left="20"/>
              <w:spacing w:after="0" w:line="180" w:lineRule="exact"/>
              <w:rPr>
                <w:sz w:val="20"/>
                <w:szCs w:val="20"/>
                <w:color w:val="auto"/>
              </w:rPr>
            </w:pPr>
            <w:r>
              <w:rPr>
                <w:rFonts w:ascii="Arial" w:cs="Arial" w:eastAsia="Arial" w:hAnsi="Arial"/>
                <w:sz w:val="16"/>
                <w:szCs w:val="16"/>
                <w:color w:val="auto"/>
              </w:rPr>
              <w:t>Coupon/Stated Weighted-average interest rate at end of period:</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rate</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Variable rate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4.85 %</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0.87 %</w:t>
            </w:r>
          </w:p>
        </w:tc>
        <w:tc>
          <w:tcPr>
            <w:tcW w:w="0" w:type="dxa"/>
            <w:vAlign w:val="bottom"/>
          </w:tcPr>
          <w:p>
            <w:pPr>
              <w:spacing w:after="0"/>
              <w:rPr>
                <w:sz w:val="1"/>
                <w:szCs w:val="1"/>
                <w:color w:val="auto"/>
              </w:rPr>
            </w:pPr>
          </w:p>
        </w:tc>
      </w:tr>
      <w:tr>
        <w:trPr>
          <w:trHeight w:val="194"/>
        </w:trPr>
        <w:tc>
          <w:tcPr>
            <w:tcW w:w="780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181"/>
        </w:trPr>
        <w:tc>
          <w:tcPr>
            <w:tcW w:w="7800" w:type="dxa"/>
            <w:vAlign w:val="bottom"/>
          </w:tcPr>
          <w:p>
            <w:pPr>
              <w:ind w:left="20"/>
              <w:spacing w:after="0" w:line="180" w:lineRule="exact"/>
              <w:rPr>
                <w:sz w:val="20"/>
                <w:szCs w:val="20"/>
                <w:color w:val="auto"/>
              </w:rPr>
            </w:pPr>
            <w:r>
              <w:rPr>
                <w:rFonts w:ascii="Arial" w:cs="Arial" w:eastAsia="Arial" w:hAnsi="Arial"/>
                <w:sz w:val="16"/>
                <w:szCs w:val="16"/>
                <w:color w:val="auto"/>
              </w:rPr>
              <w:t>Weighted-average maturity at end of period (in years):</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rate</w:t>
            </w:r>
          </w:p>
        </w:tc>
        <w:tc>
          <w:tcPr>
            <w:tcW w:w="16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Variable rate</w:t>
            </w:r>
          </w:p>
        </w:tc>
        <w:tc>
          <w:tcPr>
            <w:tcW w:w="1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3"/>
        </w:trPr>
        <w:tc>
          <w:tcPr>
            <w:tcW w:w="780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60" w:hanging="281"/>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See page 95 for additional information.</w:t>
      </w:r>
    </w:p>
    <w:p>
      <w:pPr>
        <w:spacing w:after="0" w:line="16" w:lineRule="exact"/>
        <w:rPr>
          <w:rFonts w:ascii="Arial" w:cs="Arial" w:eastAsia="Arial" w:hAnsi="Arial"/>
          <w:sz w:val="14"/>
          <w:szCs w:val="14"/>
          <w:color w:val="auto"/>
        </w:rPr>
      </w:pPr>
    </w:p>
    <w:p>
      <w:pPr>
        <w:ind w:left="560" w:hanging="281"/>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See page 94 for additional information.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Unsecured Credit Facility</w:t>
      </w:r>
    </w:p>
    <w:p>
      <w:pPr>
        <w:spacing w:after="0" w:line="9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June 15, 2021, BPLP amended and restated its prior credit facility (as amended and restated, the “2021 Credit Facility”). The 2021 Credit Facility provides for borrowings of up to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December 31, 2022 credit rating, (1) the applicable Eurocurrency and LIBOR Daily Floating Rate margins are 0.775%, (2) the alternate base rate margin is zero basis points and (3) the facility fee is 0.15% per annum. The 2021 Credit Facility includes provisions which allow LIBOR Daily Floating Rate to be switched to SOFR.</w:t>
      </w:r>
    </w:p>
    <w:p>
      <w:pPr>
        <w:spacing w:after="0" w:line="138"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At December 31, 2022 and February 21, 2023, BPLP had no borrowings under its Revolving Facility and outstanding letters of credit totaling approximately $6.4 million, with the ability to borrow approximately $1.5 billion.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Unsecured Term Loans</w:t>
      </w:r>
    </w:p>
    <w:p>
      <w:pPr>
        <w:spacing w:after="0" w:line="107"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On May 17, 2022, BPLP entered into the 2022 Unsecured Term Loan, which provided for a single borrowing of up to $730.0 million. The 2022 Unsecured Term Loan was scheduled to mature on May 16, 2023.</w:t>
      </w:r>
    </w:p>
    <w:p>
      <w:pPr>
        <w:spacing w:after="0" w:line="13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At BPLP’s option, the 2022 Unsecured Term Loan bore interest at a rate per annum equal to (A) (1) a base rate per annum equal to the greater of (a) 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was unavailable, then the forward-looking SOFR term rate administered by CME on the first business day immediately prior thereto, in each case, plus 0.10%, and (B) a margin ranging from zero to 160 basis points based on BPLP’s credit rating.</w:t>
      </w:r>
    </w:p>
    <w:p>
      <w:pPr>
        <w:spacing w:after="0" w:line="140"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On May 17, 2022, BPLP exercised its option to draw $730.0 million under the 2022 Unsecured Term Loan (See Notes 3 and 7 to the Consolidated Financial Statements). As of December 31, 2022, the 2022 Unsecured Term Loan bore interest at a variable rate equal to term SOFR plus 0.95% per annum based on BPLP’s credit rating at December 31, 2022. At December 31, 2022, BPLP had $730.0 million outstanding under its 2022 Unsecured Term Loan. The 2022 Unsecured Term Loan was repaid in full on January 4, 2023 with proceeds from the credit agreement entered into on that date (the 2023 Unsecured Term Loan) as further discussed below.</w:t>
      </w:r>
    </w:p>
    <w:p>
      <w:pPr>
        <w:spacing w:after="0" w:line="140"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On January 4, 2023, BPLP entered into the 2023 Unsecured Term Loan, which provided for a single borrowing of up to $1.2 billion.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w:t>
      </w:r>
    </w:p>
    <w:p>
      <w:pPr>
        <w:spacing w:after="0" w:line="137" w:lineRule="exact"/>
        <w:rPr>
          <w:sz w:val="20"/>
          <w:szCs w:val="20"/>
          <w:color w:val="auto"/>
        </w:rPr>
      </w:pPr>
    </w:p>
    <w:p>
      <w:pPr>
        <w:ind w:right="320" w:firstLine="391"/>
        <w:spacing w:after="0" w:line="249" w:lineRule="auto"/>
        <w:rPr>
          <w:sz w:val="20"/>
          <w:szCs w:val="20"/>
          <w:color w:val="auto"/>
        </w:rPr>
      </w:pPr>
      <w:r>
        <w:rPr>
          <w:rFonts w:ascii="Arial" w:cs="Arial" w:eastAsia="Arial" w:hAnsi="Arial"/>
          <w:sz w:val="16"/>
          <w:szCs w:val="16"/>
          <w:color w:val="auto"/>
        </w:rPr>
        <w:t>At BPLP’s option, the 2023 Unsecured Term Loan will bear interest at a rate per annum equal to (1) a base rate equal to the greatest of (a) the Federal Funds rate plus 1/2 of 1%,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w:t>
      </w:r>
    </w:p>
    <w:p>
      <w:pPr>
        <w:spacing w:after="0" w:line="137"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On January 4, 2023, upon entry into the credit agreement, BPLP exercised its option to draw $1.2 billion under the 2023 Unsecured Term Loan, a portion of which was used to repay in full the 2022 Unsecured Term Loan, which was scheduled to mature on May 16, 2023. Based on the BPLP’s credit rating upon entry into the credit agreement, the base rate margin is zero basis points and the Term SOFR margin is 85 basis points.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Unsecured Senior Notes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a description of BPLP’s outstanding unsecured senior notes as of December 31, 2022, see Note 7 to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On November 17, 2022, BPLP completed a public offering of $750.0 million in aggregate principal amount of its 6.750% unsecured senior notes due 2027. The notes were priced at 99.941% of the principal amount to yield an effective rate (including financing fees) of approximately 6.924% per annum to maturity. The notes will mature on December 1, 2027, unless earlier redeemed. The aggregate net proceeds from the offering were approximately $743.5 million after deducting underwriting discounts and transaction expenses.</w:t>
      </w:r>
    </w:p>
    <w:p>
      <w:pPr>
        <w:spacing w:after="0" w:line="137" w:lineRule="exact"/>
        <w:rPr>
          <w:sz w:val="20"/>
          <w:szCs w:val="20"/>
          <w:color w:val="auto"/>
        </w:rPr>
      </w:pPr>
    </w:p>
    <w:p>
      <w:pPr>
        <w:ind w:right="180" w:firstLine="391"/>
        <w:spacing w:after="0" w:line="250" w:lineRule="auto"/>
        <w:rPr>
          <w:sz w:val="20"/>
          <w:szCs w:val="20"/>
          <w:color w:val="auto"/>
        </w:rPr>
      </w:pPr>
      <w:r>
        <w:rPr>
          <w:rFonts w:ascii="Arial" w:cs="Arial" w:eastAsia="Arial" w:hAnsi="Arial"/>
          <w:sz w:val="16"/>
          <w:szCs w:val="16"/>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December 31, 2022, BPLP was in compliance with each of these financial restrictions and requirements.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Mortgage Notes Payable</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represents the outstanding principal balances due under the mortgage notes payable at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01"/>
              <w:spacing w:after="0"/>
              <w:rPr>
                <w:sz w:val="20"/>
                <w:szCs w:val="20"/>
                <w:color w:val="auto"/>
              </w:rPr>
            </w:pPr>
            <w:r>
              <w:rPr>
                <w:rFonts w:ascii="Arial" w:cs="Arial" w:eastAsia="Arial" w:hAnsi="Arial"/>
                <w:sz w:val="11"/>
                <w:szCs w:val="11"/>
                <w:b w:val="1"/>
                <w:bCs w:val="1"/>
                <w:color w:val="auto"/>
              </w:rPr>
              <w:t>Stated</w:t>
            </w:r>
          </w:p>
        </w:tc>
        <w:tc>
          <w:tcPr>
            <w:tcW w:w="980" w:type="dxa"/>
            <w:vAlign w:val="bottom"/>
          </w:tcPr>
          <w:p>
            <w:pPr>
              <w:jc w:val="center"/>
              <w:ind w:right="42"/>
              <w:spacing w:after="0"/>
              <w:rPr>
                <w:sz w:val="20"/>
                <w:szCs w:val="20"/>
                <w:color w:val="auto"/>
              </w:rPr>
            </w:pPr>
            <w:r>
              <w:rPr>
                <w:rFonts w:ascii="Arial" w:cs="Arial" w:eastAsia="Arial" w:hAnsi="Arial"/>
                <w:sz w:val="11"/>
                <w:szCs w:val="11"/>
                <w:b w:val="1"/>
                <w:bCs w:val="1"/>
                <w:color w:val="auto"/>
              </w:rPr>
              <w:t>GAAP</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Stated Principal</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Deferred</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Carrying Amount</w:t>
            </w:r>
          </w:p>
        </w:tc>
        <w:tc>
          <w:tcPr>
            <w:tcW w:w="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tcPr>
          <w:p>
            <w:pPr>
              <w:jc w:val="center"/>
              <w:ind w:right="42"/>
              <w:spacing w:after="0" w:line="107" w:lineRule="exact"/>
              <w:rPr>
                <w:sz w:val="20"/>
                <w:szCs w:val="20"/>
                <w:color w:val="auto"/>
              </w:rPr>
            </w:pPr>
            <w:r>
              <w:rPr>
                <w:rFonts w:ascii="Arial" w:cs="Arial" w:eastAsia="Arial" w:hAnsi="Arial"/>
                <w:sz w:val="11"/>
                <w:szCs w:val="11"/>
                <w:b w:val="1"/>
                <w:bCs w:val="1"/>
                <w:color w:val="auto"/>
              </w:rPr>
              <w:t>Interest Rate</w:t>
            </w:r>
          </w:p>
        </w:tc>
        <w:tc>
          <w:tcPr>
            <w:tcW w:w="1080" w:type="dxa"/>
            <w:vAlign w:val="bottom"/>
            <w:gridSpan w:val="3"/>
            <w:vMerge w:val="continue"/>
          </w:tcPr>
          <w:p>
            <w:pPr>
              <w:spacing w:after="0"/>
              <w:rPr>
                <w:sz w:val="9"/>
                <w:szCs w:val="9"/>
                <w:color w:val="auto"/>
              </w:rPr>
            </w:pPr>
          </w:p>
        </w:tc>
        <w:tc>
          <w:tcPr>
            <w:tcW w:w="1080" w:type="dxa"/>
            <w:vAlign w:val="bottom"/>
            <w:gridSpan w:val="3"/>
          </w:tcPr>
          <w:p>
            <w:pPr>
              <w:jc w:val="center"/>
              <w:ind w:right="100"/>
              <w:spacing w:after="0" w:line="107" w:lineRule="exact"/>
              <w:rPr>
                <w:sz w:val="20"/>
                <w:szCs w:val="20"/>
                <w:color w:val="auto"/>
              </w:rPr>
            </w:pPr>
            <w:r>
              <w:rPr>
                <w:rFonts w:ascii="Arial" w:cs="Arial" w:eastAsia="Arial" w:hAnsi="Arial"/>
                <w:sz w:val="11"/>
                <w:szCs w:val="11"/>
                <w:b w:val="1"/>
                <w:bCs w:val="1"/>
                <w:color w:val="auto"/>
              </w:rPr>
              <w:t>Financing Costs,</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960" w:type="dxa"/>
            <w:vAlign w:val="bottom"/>
          </w:tcPr>
          <w:p>
            <w:pPr>
              <w:jc w:val="right"/>
              <w:ind w:right="141"/>
              <w:spacing w:after="0"/>
              <w:rPr>
                <w:sz w:val="20"/>
                <w:szCs w:val="20"/>
                <w:color w:val="auto"/>
              </w:rPr>
            </w:pPr>
            <w:r>
              <w:rPr>
                <w:rFonts w:ascii="Arial" w:cs="Arial" w:eastAsia="Arial" w:hAnsi="Arial"/>
                <w:sz w:val="11"/>
                <w:szCs w:val="11"/>
                <w:b w:val="1"/>
                <w:bCs w:val="1"/>
                <w:color w:val="auto"/>
              </w:rPr>
              <w:t>Interest Rate</w:t>
            </w:r>
          </w:p>
        </w:tc>
        <w:tc>
          <w:tcPr>
            <w:tcW w:w="980" w:type="dxa"/>
            <w:vAlign w:val="bottom"/>
          </w:tcPr>
          <w:p>
            <w:pPr>
              <w:jc w:val="center"/>
              <w:ind w:right="22"/>
              <w:spacing w:after="0"/>
              <w:rPr>
                <w:sz w:val="20"/>
                <w:szCs w:val="20"/>
                <w:color w:val="auto"/>
              </w:rPr>
            </w:pPr>
            <w:r>
              <w:rPr>
                <w:rFonts w:ascii="Arial" w:cs="Arial" w:eastAsia="Arial" w:hAnsi="Arial"/>
                <w:sz w:val="11"/>
                <w:szCs w:val="11"/>
                <w:b w:val="1"/>
                <w:bCs w:val="1"/>
                <w:color w:val="auto"/>
              </w:rPr>
              <w:t>(1)</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Net</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Carrying Amount</w:t>
            </w: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(Partners</w:t>
            </w:r>
            <w:r>
              <w:rPr>
                <w:rFonts w:ascii="Arial" w:cs="Arial" w:eastAsia="Arial" w:hAnsi="Arial"/>
                <w:sz w:val="11"/>
                <w:szCs w:val="11"/>
                <w:color w:val="auto"/>
              </w:rPr>
              <w:t>’</w:t>
            </w:r>
            <w:r>
              <w:rPr>
                <w:rFonts w:ascii="Arial" w:cs="Arial" w:eastAsia="Arial" w:hAnsi="Arial"/>
                <w:sz w:val="11"/>
                <w:szCs w:val="11"/>
                <w:b w:val="1"/>
                <w:bCs w:val="1"/>
                <w:color w:val="auto"/>
              </w:rPr>
              <w:t xml:space="preserve"> Share)</w:t>
            </w:r>
          </w:p>
        </w:tc>
        <w:tc>
          <w:tcPr>
            <w:tcW w:w="800" w:type="dxa"/>
            <w:vAlign w:val="bottom"/>
          </w:tcPr>
          <w:p>
            <w:pPr>
              <w:spacing w:after="0"/>
              <w:rPr>
                <w:sz w:val="13"/>
                <w:szCs w:val="13"/>
                <w:color w:val="auto"/>
              </w:rPr>
            </w:pPr>
          </w:p>
        </w:tc>
        <w:tc>
          <w:tcPr>
            <w:tcW w:w="1520" w:type="dxa"/>
            <w:vAlign w:val="bottom"/>
          </w:tcPr>
          <w:p>
            <w:pPr>
              <w:ind w:left="500"/>
              <w:spacing w:after="0"/>
              <w:rPr>
                <w:sz w:val="20"/>
                <w:szCs w:val="20"/>
                <w:color w:val="auto"/>
              </w:rPr>
            </w:pPr>
            <w:r>
              <w:rPr>
                <w:rFonts w:ascii="Arial" w:cs="Arial" w:eastAsia="Arial" w:hAnsi="Arial"/>
                <w:sz w:val="11"/>
                <w:szCs w:val="11"/>
                <w:b w:val="1"/>
                <w:bCs w:val="1"/>
                <w:color w:val="auto"/>
              </w:rPr>
              <w:t>Maturity Date</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line="147" w:lineRule="exact"/>
              <w:rPr>
                <w:sz w:val="20"/>
                <w:szCs w:val="20"/>
                <w:color w:val="auto"/>
              </w:rPr>
            </w:pPr>
            <w:r>
              <w:rPr>
                <w:rFonts w:ascii="Arial" w:cs="Arial" w:eastAsia="Arial" w:hAnsi="Arial"/>
                <w:sz w:val="13"/>
                <w:szCs w:val="13"/>
                <w:b w:val="1"/>
                <w:bCs w:val="1"/>
                <w:color w:val="auto"/>
                <w:w w:val="95"/>
              </w:rPr>
              <w:t>Consolidated Joint Ventures</w:t>
            </w:r>
          </w:p>
        </w:tc>
        <w:tc>
          <w:tcPr>
            <w:tcW w:w="1020" w:type="dxa"/>
            <w:vAlign w:val="bottom"/>
            <w:tcBorders>
              <w:bottom w:val="single" w:sz="8" w:color="CCEEFF"/>
            </w:tcBorders>
            <w:gridSpan w:val="2"/>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20" w:type="dxa"/>
            <w:vAlign w:val="bottom"/>
            <w:gridSpan w:val="3"/>
          </w:tcPr>
          <w:p>
            <w:pPr>
              <w:spacing w:after="0" w:line="147" w:lineRule="exact"/>
              <w:rPr>
                <w:sz w:val="20"/>
                <w:szCs w:val="20"/>
                <w:color w:val="auto"/>
              </w:rPr>
            </w:pPr>
            <w:r>
              <w:rPr>
                <w:rFonts w:ascii="Arial" w:cs="Arial" w:eastAsia="Arial" w:hAnsi="Arial"/>
                <w:sz w:val="13"/>
                <w:szCs w:val="13"/>
                <w:color w:val="auto"/>
              </w:rPr>
              <w:t>767 Fifth Avenue (the General Motors</w:t>
            </w:r>
          </w:p>
        </w:tc>
        <w:tc>
          <w:tcPr>
            <w:tcW w:w="960" w:type="dxa"/>
            <w:vAlign w:val="bottom"/>
            <w:vMerge w:val="restart"/>
          </w:tcPr>
          <w:p>
            <w:pPr>
              <w:jc w:val="right"/>
              <w:ind w:right="41"/>
              <w:spacing w:after="0"/>
              <w:rPr>
                <w:sz w:val="20"/>
                <w:szCs w:val="20"/>
                <w:color w:val="auto"/>
              </w:rPr>
            </w:pPr>
            <w:r>
              <w:rPr>
                <w:rFonts w:ascii="Arial" w:cs="Arial" w:eastAsia="Arial" w:hAnsi="Arial"/>
                <w:sz w:val="13"/>
                <w:szCs w:val="13"/>
                <w:color w:val="auto"/>
              </w:rPr>
              <w:t>3.43 %</w:t>
            </w:r>
          </w:p>
        </w:tc>
        <w:tc>
          <w:tcPr>
            <w:tcW w:w="980" w:type="dxa"/>
            <w:vAlign w:val="bottom"/>
            <w:vMerge w:val="restart"/>
          </w:tcPr>
          <w:p>
            <w:pPr>
              <w:jc w:val="right"/>
              <w:ind w:right="62"/>
              <w:spacing w:after="0"/>
              <w:rPr>
                <w:sz w:val="20"/>
                <w:szCs w:val="20"/>
                <w:color w:val="auto"/>
              </w:rPr>
            </w:pPr>
            <w:r>
              <w:rPr>
                <w:rFonts w:ascii="Arial" w:cs="Arial" w:eastAsia="Arial" w:hAnsi="Arial"/>
                <w:sz w:val="13"/>
                <w:szCs w:val="13"/>
                <w:color w:val="auto"/>
              </w:rPr>
              <w:t>3.64 %</w:t>
            </w:r>
          </w:p>
        </w:tc>
        <w:tc>
          <w:tcPr>
            <w:tcW w:w="180" w:type="dxa"/>
            <w:vAlign w:val="bottom"/>
            <w:vMerge w:val="restart"/>
          </w:tcPr>
          <w:p>
            <w:pPr>
              <w:jc w:val="right"/>
              <w:ind w:right="39"/>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2,300,000</w:t>
            </w:r>
          </w:p>
        </w:tc>
        <w:tc>
          <w:tcPr>
            <w:tcW w:w="10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(15,490)</w:t>
            </w:r>
          </w:p>
        </w:tc>
        <w:tc>
          <w:tcPr>
            <w:tcW w:w="100" w:type="dxa"/>
            <w:vAlign w:val="bottom"/>
          </w:tcPr>
          <w:p>
            <w:pPr>
              <w:spacing w:after="0"/>
              <w:rPr>
                <w:sz w:val="12"/>
                <w:szCs w:val="12"/>
                <w:color w:val="auto"/>
              </w:rPr>
            </w:pPr>
          </w:p>
        </w:tc>
        <w:tc>
          <w:tcPr>
            <w:tcW w:w="22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2,284,510</w:t>
            </w:r>
          </w:p>
        </w:tc>
        <w:tc>
          <w:tcPr>
            <w:tcW w:w="120" w:type="dxa"/>
            <w:vAlign w:val="bottom"/>
          </w:tcPr>
          <w:p>
            <w:pPr>
              <w:spacing w:after="0"/>
              <w:rPr>
                <w:sz w:val="12"/>
                <w:szCs w:val="1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913,859</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(2)(3)(4)</w:t>
            </w:r>
          </w:p>
        </w:tc>
        <w:tc>
          <w:tcPr>
            <w:tcW w:w="1520" w:type="dxa"/>
            <w:vAlign w:val="bottom"/>
            <w:vMerge w:val="restart"/>
          </w:tcPr>
          <w:p>
            <w:pPr>
              <w:ind w:left="200"/>
              <w:spacing w:after="0"/>
              <w:rPr>
                <w:sz w:val="20"/>
                <w:szCs w:val="20"/>
                <w:color w:val="auto"/>
              </w:rPr>
            </w:pPr>
            <w:r>
              <w:rPr>
                <w:rFonts w:ascii="Arial" w:cs="Arial" w:eastAsia="Arial" w:hAnsi="Arial"/>
                <w:sz w:val="13"/>
                <w:szCs w:val="13"/>
                <w:color w:val="auto"/>
              </w:rPr>
              <w:t>June 9, 2027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gridSpan w:val="3"/>
          </w:tcPr>
          <w:p>
            <w:pPr>
              <w:ind w:left="140"/>
              <w:spacing w:after="0"/>
              <w:rPr>
                <w:sz w:val="20"/>
                <w:szCs w:val="20"/>
                <w:color w:val="auto"/>
              </w:rPr>
            </w:pPr>
            <w:r>
              <w:rPr>
                <w:rFonts w:ascii="Arial" w:cs="Arial" w:eastAsia="Arial" w:hAnsi="Arial"/>
                <w:sz w:val="13"/>
                <w:szCs w:val="13"/>
                <w:color w:val="auto"/>
              </w:rPr>
              <w:t>Building)</w:t>
            </w:r>
          </w:p>
        </w:tc>
        <w:tc>
          <w:tcPr>
            <w:tcW w:w="9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601 Lexington Avenue</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2.79 %</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2.93 %</w:t>
            </w: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(12,142)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987,858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444,536</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(2)(5)</w:t>
            </w:r>
          </w:p>
        </w:tc>
        <w:tc>
          <w:tcPr>
            <w:tcW w:w="1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January 9, 2032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gridSpan w:val="3"/>
          </w:tcPr>
          <w:p>
            <w:pPr>
              <w:spacing w:after="0"/>
              <w:rPr>
                <w:sz w:val="20"/>
                <w:szCs w:val="20"/>
                <w:color w:val="auto"/>
              </w:rPr>
            </w:pPr>
            <w:r>
              <w:rPr>
                <w:rFonts w:ascii="Arial" w:cs="Arial" w:eastAsia="Arial" w:hAnsi="Arial"/>
                <w:sz w:val="13"/>
                <w:szCs w:val="13"/>
                <w:color w:val="auto"/>
              </w:rPr>
              <w:t>Total</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3,300,000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(27,632)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3,272,368</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1,358,395</w:t>
            </w:r>
          </w:p>
        </w:tc>
        <w:tc>
          <w:tcPr>
            <w:tcW w:w="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60" w:hanging="281"/>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GAAP interest rate differs from the stated interest rate due to the inclusion of the amortization of financing charges and the effects of hedging transactions (if any).</w:t>
      </w:r>
    </w:p>
    <w:p>
      <w:pPr>
        <w:spacing w:after="0" w:line="4" w:lineRule="exact"/>
        <w:rPr>
          <w:rFonts w:ascii="Arial" w:cs="Arial" w:eastAsia="Arial" w:hAnsi="Arial"/>
          <w:sz w:val="14"/>
          <w:szCs w:val="14"/>
          <w:color w:val="auto"/>
        </w:rPr>
      </w:pPr>
    </w:p>
    <w:p>
      <w:pPr>
        <w:ind w:left="560" w:hanging="281"/>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mortgage loan requires interest only payments with a balloon payment due at maturity.</w:t>
      </w:r>
    </w:p>
    <w:p>
      <w:pPr>
        <w:spacing w:after="0" w:line="4" w:lineRule="exact"/>
        <w:rPr>
          <w:rFonts w:ascii="Arial" w:cs="Arial" w:eastAsia="Arial" w:hAnsi="Arial"/>
          <w:sz w:val="14"/>
          <w:szCs w:val="14"/>
          <w:color w:val="auto"/>
        </w:rPr>
      </w:pPr>
    </w:p>
    <w:p>
      <w:pPr>
        <w:ind w:left="560" w:hanging="281"/>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This property is owned by a consolidated entity in which we have a 60% interest. The partners’ share of the carrying amount has been adjusted for basis differentials.</w:t>
      </w:r>
    </w:p>
    <w:p>
      <w:pPr>
        <w:spacing w:after="0" w:line="16" w:lineRule="exact"/>
        <w:rPr>
          <w:rFonts w:ascii="Arial" w:cs="Arial" w:eastAsia="Arial" w:hAnsi="Arial"/>
          <w:sz w:val="14"/>
          <w:szCs w:val="14"/>
          <w:color w:val="auto"/>
        </w:rPr>
      </w:pPr>
    </w:p>
    <w:p>
      <w:pPr>
        <w:ind w:left="560" w:right="20" w:hanging="281"/>
        <w:spacing w:after="0" w:line="251" w:lineRule="auto"/>
        <w:tabs>
          <w:tab w:leader="none" w:pos="5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connection with the refinancing of the loan, we guaranteed the consolidated entity’s obligation to fund various reserves for tenant improvement costs and allowances, leasing commissions and free rent obligations in lieu of cash deposits. As of December 31, 2022, the maximum funding obligation under the guarantee was approximately $13.7 million. We earn a fee from the joint venture for providing the guarantee and have an agreement with our partners to reimburse the joint venture for their share of any payments made under the guarantee (See Note 8 to the Consolidated Financial Statements).</w:t>
      </w:r>
    </w:p>
    <w:p>
      <w:pPr>
        <w:spacing w:after="0" w:line="2" w:lineRule="exact"/>
        <w:rPr>
          <w:rFonts w:ascii="Arial" w:cs="Arial" w:eastAsia="Arial" w:hAnsi="Arial"/>
          <w:sz w:val="14"/>
          <w:szCs w:val="14"/>
          <w:color w:val="auto"/>
        </w:rPr>
      </w:pPr>
    </w:p>
    <w:p>
      <w:pPr>
        <w:ind w:left="560" w:hanging="281"/>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This property is owned by a consolidated entity in which we have a 55% interest.</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6"/>
                <w:szCs w:val="16"/>
                <w:color w:val="auto"/>
              </w:rPr>
              <w:t>Contractual aggregate principal payments of mortgage notes payable at December 31, 2022 are as follows:</w:t>
            </w: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61"/>
        </w:trPr>
        <w:tc>
          <w:tcPr>
            <w:tcW w:w="3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Principal Payments</w:t>
            </w:r>
          </w:p>
        </w:tc>
      </w:tr>
      <w:tr>
        <w:trPr>
          <w:trHeight w:val="142"/>
        </w:trPr>
        <w:tc>
          <w:tcPr>
            <w:tcW w:w="902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Year</w:t>
            </w:r>
          </w:p>
        </w:tc>
        <w:tc>
          <w:tcPr>
            <w:tcW w:w="320" w:type="dxa"/>
            <w:vAlign w:val="bottom"/>
          </w:tcPr>
          <w:p>
            <w:pPr>
              <w:spacing w:after="0"/>
              <w:rPr>
                <w:sz w:val="12"/>
                <w:szCs w:val="12"/>
                <w:color w:val="auto"/>
              </w:rPr>
            </w:pPr>
          </w:p>
        </w:tc>
        <w:tc>
          <w:tcPr>
            <w:tcW w:w="1880" w:type="dxa"/>
            <w:vAlign w:val="bottom"/>
          </w:tcPr>
          <w:p>
            <w:pPr>
              <w:jc w:val="right"/>
              <w:ind w:right="585"/>
              <w:spacing w:after="0" w:line="143" w:lineRule="exact"/>
              <w:rPr>
                <w:sz w:val="20"/>
                <w:szCs w:val="20"/>
                <w:color w:val="auto"/>
              </w:rPr>
            </w:pPr>
            <w:r>
              <w:rPr>
                <w:rFonts w:ascii="Arial" w:cs="Arial" w:eastAsia="Arial" w:hAnsi="Arial"/>
                <w:sz w:val="13"/>
                <w:szCs w:val="13"/>
                <w:b w:val="1"/>
                <w:bCs w:val="1"/>
                <w:color w:val="auto"/>
              </w:rPr>
              <w:t>(in thousands)</w:t>
            </w:r>
          </w:p>
        </w:tc>
      </w:tr>
      <w:tr>
        <w:trPr>
          <w:trHeight w:val="28"/>
        </w:trPr>
        <w:tc>
          <w:tcPr>
            <w:tcW w:w="300" w:type="dxa"/>
            <w:vAlign w:val="bottom"/>
            <w:shd w:val="clear" w:color="auto" w:fill="000000"/>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09"/>
        </w:trPr>
        <w:tc>
          <w:tcPr>
            <w:tcW w:w="9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01"/>
        </w:trPr>
        <w:tc>
          <w:tcPr>
            <w:tcW w:w="9020" w:type="dxa"/>
            <w:vAlign w:val="bottom"/>
            <w:gridSpan w:val="2"/>
          </w:tcPr>
          <w:p>
            <w:pPr>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7"/>
                <w:szCs w:val="17"/>
                <w:color w:val="auto"/>
              </w:rPr>
            </w:pPr>
          </w:p>
        </w:tc>
        <w:tc>
          <w:tcPr>
            <w:tcW w:w="1880" w:type="dxa"/>
            <w:vAlign w:val="bottom"/>
          </w:tcPr>
          <w:p>
            <w:pPr>
              <w:jc w:val="right"/>
              <w:ind w:right="5"/>
              <w:spacing w:after="0"/>
              <w:rPr>
                <w:sz w:val="20"/>
                <w:szCs w:val="20"/>
                <w:color w:val="auto"/>
              </w:rPr>
            </w:pPr>
            <w:r>
              <w:rPr>
                <w:rFonts w:ascii="Arial" w:cs="Arial" w:eastAsia="Arial" w:hAnsi="Arial"/>
                <w:sz w:val="16"/>
                <w:szCs w:val="16"/>
                <w:color w:val="auto"/>
              </w:rPr>
              <w:t>—</w:t>
            </w:r>
          </w:p>
        </w:tc>
      </w:tr>
      <w:tr>
        <w:trPr>
          <w:trHeight w:val="202"/>
        </w:trPr>
        <w:tc>
          <w:tcPr>
            <w:tcW w:w="9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01"/>
        </w:trPr>
        <w:tc>
          <w:tcPr>
            <w:tcW w:w="9020" w:type="dxa"/>
            <w:vAlign w:val="bottom"/>
            <w:gridSpan w:val="2"/>
          </w:tcPr>
          <w:p>
            <w:pPr>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7"/>
                <w:szCs w:val="17"/>
                <w:color w:val="auto"/>
              </w:rPr>
            </w:pPr>
          </w:p>
        </w:tc>
        <w:tc>
          <w:tcPr>
            <w:tcW w:w="1880" w:type="dxa"/>
            <w:vAlign w:val="bottom"/>
          </w:tcPr>
          <w:p>
            <w:pPr>
              <w:jc w:val="right"/>
              <w:ind w:right="5"/>
              <w:spacing w:after="0"/>
              <w:rPr>
                <w:sz w:val="20"/>
                <w:szCs w:val="20"/>
                <w:color w:val="auto"/>
              </w:rPr>
            </w:pPr>
            <w:r>
              <w:rPr>
                <w:rFonts w:ascii="Arial" w:cs="Arial" w:eastAsia="Arial" w:hAnsi="Arial"/>
                <w:sz w:val="16"/>
                <w:szCs w:val="16"/>
                <w:color w:val="auto"/>
              </w:rPr>
              <w:t>—</w:t>
            </w:r>
          </w:p>
        </w:tc>
      </w:tr>
      <w:tr>
        <w:trPr>
          <w:trHeight w:val="202"/>
        </w:trPr>
        <w:tc>
          <w:tcPr>
            <w:tcW w:w="9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2027</w:t>
            </w: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2,300,000</w:t>
            </w:r>
          </w:p>
        </w:tc>
      </w:tr>
      <w:tr>
        <w:trPr>
          <w:trHeight w:val="201"/>
        </w:trPr>
        <w:tc>
          <w:tcPr>
            <w:tcW w:w="9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1,000,000</w:t>
            </w:r>
          </w:p>
        </w:tc>
      </w:tr>
      <w:tr>
        <w:trPr>
          <w:trHeight w:val="218"/>
        </w:trPr>
        <w:tc>
          <w:tcPr>
            <w:tcW w:w="300" w:type="dxa"/>
            <w:vAlign w:val="bottom"/>
            <w:tcBorders>
              <w:bottom w:val="single" w:sz="8" w:color="CCEEFF"/>
            </w:tcBorders>
            <w:shd w:val="clear" w:color="auto" w:fill="CCEEFF"/>
          </w:tcPr>
          <w:p>
            <w:pPr>
              <w:spacing w:after="0"/>
              <w:rPr>
                <w:sz w:val="18"/>
                <w:szCs w:val="18"/>
                <w:color w:val="auto"/>
              </w:rPr>
            </w:pPr>
          </w:p>
        </w:tc>
        <w:tc>
          <w:tcPr>
            <w:tcW w:w="8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3,300,000</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Investment in Unconsolidated Joint Ventures - Secured Debt</w:t>
      </w:r>
    </w:p>
    <w:p>
      <w:pPr>
        <w:spacing w:after="0" w:line="107"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We have investments in unconsolidated joint ventures with our effective ownership interests ranging from 20% to 55%. Seventeen of these ventures have mortgage indebtedness. We exercise significant influence over, but do not control, these entities. As a result, we account for them using the equity method of accounting. See also Note 6 to the Consolidated Financial Statements. At December 31, 2022, the aggregate carrying amount of debt, including both our and our partners’ share, incurred by these ventures was approximately $4.0 billion (of which our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proportionate share is approximately $1.6 billion). The table below summarizes the outstanding debt of these joint venture properties at December 31, 2022.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Nominal %</w:t>
            </w:r>
          </w:p>
        </w:tc>
        <w:tc>
          <w:tcPr>
            <w:tcW w:w="92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Stated</w:t>
            </w:r>
          </w:p>
        </w:tc>
        <w:tc>
          <w:tcPr>
            <w:tcW w:w="100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GAAP Interest</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9"/>
              </w:rPr>
              <w:t>Stated Principal</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Deferred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7"/>
              </w:rPr>
              <w:t>Carrying</w:t>
            </w:r>
          </w:p>
        </w:tc>
        <w:tc>
          <w:tcPr>
            <w:tcW w:w="100" w:type="dxa"/>
            <w:vAlign w:val="bottom"/>
          </w:tcPr>
          <w:p>
            <w:pPr>
              <w:spacing w:after="0"/>
              <w:rPr>
                <w:sz w:val="12"/>
                <w:szCs w:val="12"/>
                <w:color w:val="auto"/>
              </w:rPr>
            </w:pPr>
          </w:p>
        </w:tc>
        <w:tc>
          <w:tcPr>
            <w:tcW w:w="860" w:type="dxa"/>
            <w:vAlign w:val="bottom"/>
          </w:tcPr>
          <w:p>
            <w:pPr>
              <w:jc w:val="center"/>
              <w:ind w:right="37"/>
              <w:spacing w:after="0"/>
              <w:rPr>
                <w:sz w:val="20"/>
                <w:szCs w:val="20"/>
                <w:color w:val="auto"/>
              </w:rPr>
            </w:pPr>
            <w:r>
              <w:rPr>
                <w:rFonts w:ascii="Arial" w:cs="Arial" w:eastAsia="Arial" w:hAnsi="Arial"/>
                <w:sz w:val="12"/>
                <w:szCs w:val="12"/>
                <w:b w:val="1"/>
                <w:bCs w:val="1"/>
                <w:color w:val="auto"/>
                <w:w w:val="97"/>
              </w:rPr>
              <w:t>Carrying</w:t>
            </w: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Properties</w:t>
            </w: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2"/>
                <w:szCs w:val="12"/>
                <w:b w:val="1"/>
                <w:bCs w:val="1"/>
                <w:color w:val="auto"/>
                <w:w w:val="98"/>
              </w:rPr>
              <w:t>Financing</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7"/>
              <w:spacing w:after="0" w:line="119" w:lineRule="exact"/>
              <w:rPr>
                <w:sz w:val="20"/>
                <w:szCs w:val="20"/>
                <w:color w:val="auto"/>
              </w:rPr>
            </w:pPr>
            <w:r>
              <w:rPr>
                <w:rFonts w:ascii="Arial" w:cs="Arial" w:eastAsia="Arial" w:hAnsi="Arial"/>
                <w:sz w:val="12"/>
                <w:szCs w:val="12"/>
                <w:b w:val="1"/>
                <w:bCs w:val="1"/>
                <w:color w:val="auto"/>
                <w:w w:val="97"/>
              </w:rPr>
              <w:t>Amount (Our</w:t>
            </w:r>
          </w:p>
        </w:tc>
        <w:tc>
          <w:tcPr>
            <w:tcW w:w="68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61"/>
        </w:trPr>
        <w:tc>
          <w:tcPr>
            <w:tcW w:w="1520" w:type="dxa"/>
            <w:vAlign w:val="bottom"/>
            <w:gridSpan w:val="2"/>
            <w:vMerge w:val="continue"/>
          </w:tcPr>
          <w:p>
            <w:pPr>
              <w:spacing w:after="0"/>
              <w:rPr>
                <w:sz w:val="13"/>
                <w:szCs w:val="13"/>
                <w:color w:val="auto"/>
              </w:rPr>
            </w:pPr>
          </w:p>
        </w:tc>
        <w:tc>
          <w:tcPr>
            <w:tcW w:w="1120" w:type="dxa"/>
            <w:vAlign w:val="bottom"/>
          </w:tcPr>
          <w:p>
            <w:pPr>
              <w:jc w:val="right"/>
              <w:ind w:right="217"/>
              <w:spacing w:after="0"/>
              <w:rPr>
                <w:sz w:val="20"/>
                <w:szCs w:val="20"/>
                <w:color w:val="auto"/>
              </w:rPr>
            </w:pPr>
            <w:r>
              <w:rPr>
                <w:rFonts w:ascii="Arial" w:cs="Arial" w:eastAsia="Arial" w:hAnsi="Arial"/>
                <w:sz w:val="12"/>
                <w:szCs w:val="12"/>
                <w:b w:val="1"/>
                <w:bCs w:val="1"/>
                <w:color w:val="auto"/>
              </w:rPr>
              <w:t>Ownership</w:t>
            </w:r>
          </w:p>
        </w:tc>
        <w:tc>
          <w:tcPr>
            <w:tcW w:w="920" w:type="dxa"/>
            <w:vAlign w:val="bottom"/>
          </w:tcPr>
          <w:p>
            <w:pPr>
              <w:jc w:val="right"/>
              <w:ind w:right="57"/>
              <w:spacing w:after="0"/>
              <w:rPr>
                <w:sz w:val="20"/>
                <w:szCs w:val="20"/>
                <w:color w:val="auto"/>
              </w:rPr>
            </w:pPr>
            <w:r>
              <w:rPr>
                <w:rFonts w:ascii="Arial" w:cs="Arial" w:eastAsia="Arial" w:hAnsi="Arial"/>
                <w:sz w:val="12"/>
                <w:szCs w:val="12"/>
                <w:b w:val="1"/>
                <w:bCs w:val="1"/>
                <w:color w:val="auto"/>
              </w:rPr>
              <w:t>Interest Rate</w:t>
            </w:r>
          </w:p>
        </w:tc>
        <w:tc>
          <w:tcPr>
            <w:tcW w:w="1000" w:type="dxa"/>
            <w:vAlign w:val="bottom"/>
          </w:tcPr>
          <w:p>
            <w:pPr>
              <w:jc w:val="right"/>
              <w:ind w:right="257"/>
              <w:spacing w:after="0"/>
              <w:rPr>
                <w:sz w:val="20"/>
                <w:szCs w:val="20"/>
                <w:color w:val="auto"/>
              </w:rPr>
            </w:pPr>
            <w:r>
              <w:rPr>
                <w:rFonts w:ascii="Arial" w:cs="Arial" w:eastAsia="Arial" w:hAnsi="Arial"/>
                <w:sz w:val="12"/>
                <w:szCs w:val="12"/>
                <w:b w:val="1"/>
                <w:bCs w:val="1"/>
                <w:color w:val="auto"/>
              </w:rPr>
              <w:t>Rate (1)</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Costs, Net</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Arial" w:cs="Arial" w:eastAsia="Arial" w:hAnsi="Arial"/>
                <w:sz w:val="12"/>
                <w:szCs w:val="12"/>
                <w:b w:val="1"/>
                <w:bCs w:val="1"/>
                <w:color w:val="auto"/>
                <w:w w:val="99"/>
              </w:rPr>
              <w:t>share)</w:t>
            </w:r>
          </w:p>
        </w:tc>
        <w:tc>
          <w:tcPr>
            <w:tcW w:w="6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Santa Monica Business</w:t>
            </w: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55.00 %</w:t>
            </w:r>
          </w:p>
        </w:tc>
        <w:tc>
          <w:tcPr>
            <w:tcW w:w="9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4.06 %</w:t>
            </w: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4.24 %</w:t>
            </w: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298,650</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164,258</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(2)(3)</w:t>
            </w:r>
          </w:p>
        </w:tc>
        <w:tc>
          <w:tcPr>
            <w:tcW w:w="176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July 19, 2025</w:t>
            </w:r>
          </w:p>
        </w:tc>
        <w:tc>
          <w:tcPr>
            <w:tcW w:w="0" w:type="dxa"/>
            <w:vAlign w:val="bottom"/>
          </w:tcPr>
          <w:p>
            <w:pPr>
              <w:spacing w:after="0"/>
              <w:rPr>
                <w:sz w:val="1"/>
                <w:szCs w:val="1"/>
                <w:color w:val="auto"/>
              </w:rPr>
            </w:pPr>
          </w:p>
        </w:tc>
      </w:tr>
      <w:tr>
        <w:trPr>
          <w:trHeight w:val="150"/>
        </w:trPr>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Park</w:t>
            </w:r>
          </w:p>
        </w:tc>
        <w:tc>
          <w:tcPr>
            <w:tcW w:w="112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Market Square North</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6.11 %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6.29 %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124,345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62,173</w:t>
            </w:r>
          </w:p>
        </w:tc>
        <w:tc>
          <w:tcPr>
            <w:tcW w:w="680" w:type="dxa"/>
            <w:vAlign w:val="bottom"/>
          </w:tcPr>
          <w:p>
            <w:pPr>
              <w:ind w:left="120"/>
              <w:spacing w:after="0"/>
              <w:rPr>
                <w:sz w:val="20"/>
                <w:szCs w:val="20"/>
                <w:color w:val="auto"/>
              </w:rPr>
            </w:pPr>
            <w:r>
              <w:rPr>
                <w:rFonts w:ascii="Arial" w:cs="Arial" w:eastAsia="Arial" w:hAnsi="Arial"/>
                <w:sz w:val="13"/>
                <w:szCs w:val="13"/>
                <w:color w:val="auto"/>
              </w:rPr>
              <w:t>(2)(4)</w:t>
            </w:r>
          </w:p>
        </w:tc>
        <w:tc>
          <w:tcPr>
            <w:tcW w:w="1760" w:type="dxa"/>
            <w:vAlign w:val="bottom"/>
          </w:tcPr>
          <w:p>
            <w:pPr>
              <w:ind w:left="160"/>
              <w:spacing w:after="0"/>
              <w:rPr>
                <w:sz w:val="20"/>
                <w:szCs w:val="20"/>
                <w:color w:val="auto"/>
              </w:rPr>
            </w:pPr>
            <w:r>
              <w:rPr>
                <w:rFonts w:ascii="Arial" w:cs="Arial" w:eastAsia="Arial" w:hAnsi="Arial"/>
                <w:sz w:val="13"/>
                <w:szCs w:val="13"/>
                <w:color w:val="auto"/>
              </w:rPr>
              <w:t>November 10, 2025</w:t>
            </w:r>
          </w:p>
        </w:tc>
        <w:tc>
          <w:tcPr>
            <w:tcW w:w="0" w:type="dxa"/>
            <w:vAlign w:val="bottom"/>
          </w:tcPr>
          <w:p>
            <w:pPr>
              <w:spacing w:after="0"/>
              <w:rPr>
                <w:sz w:val="1"/>
                <w:szCs w:val="1"/>
                <w:color w:val="auto"/>
              </w:rPr>
            </w:pPr>
          </w:p>
        </w:tc>
      </w:tr>
      <w:tr>
        <w:trPr>
          <w:trHeight w:val="18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1265 Main Street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3.77 %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35,335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17,668</w:t>
            </w:r>
          </w:p>
        </w:tc>
        <w:tc>
          <w:tcPr>
            <w:tcW w:w="680" w:type="dxa"/>
            <w:vAlign w:val="bottom"/>
            <w:shd w:val="clear" w:color="auto" w:fill="CCEEFF"/>
          </w:tcPr>
          <w:p>
            <w:pPr>
              <w:spacing w:after="0"/>
              <w:rPr>
                <w:sz w:val="15"/>
                <w:szCs w:val="15"/>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January 1, 2032</w:t>
            </w: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Colorado Center</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3.56 %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3.59 %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549,174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274,587</w:t>
            </w:r>
          </w:p>
        </w:tc>
        <w:tc>
          <w:tcPr>
            <w:tcW w:w="680" w:type="dxa"/>
            <w:vAlign w:val="bottom"/>
          </w:tcPr>
          <w:p>
            <w:pPr>
              <w:ind w:left="120"/>
              <w:spacing w:after="0"/>
              <w:rPr>
                <w:sz w:val="20"/>
                <w:szCs w:val="20"/>
                <w:color w:val="auto"/>
              </w:rPr>
            </w:pPr>
            <w:r>
              <w:rPr>
                <w:rFonts w:ascii="Arial" w:cs="Arial" w:eastAsia="Arial" w:hAnsi="Arial"/>
                <w:sz w:val="13"/>
                <w:szCs w:val="13"/>
                <w:color w:val="auto"/>
              </w:rPr>
              <w:t>(2)</w:t>
            </w:r>
          </w:p>
        </w:tc>
        <w:tc>
          <w:tcPr>
            <w:tcW w:w="1760" w:type="dxa"/>
            <w:vAlign w:val="bottom"/>
          </w:tcPr>
          <w:p>
            <w:pPr>
              <w:ind w:left="160"/>
              <w:spacing w:after="0"/>
              <w:rPr>
                <w:sz w:val="20"/>
                <w:szCs w:val="20"/>
                <w:color w:val="auto"/>
              </w:rPr>
            </w:pPr>
            <w:r>
              <w:rPr>
                <w:rFonts w:ascii="Arial" w:cs="Arial" w:eastAsia="Arial" w:hAnsi="Arial"/>
                <w:sz w:val="13"/>
                <w:szCs w:val="13"/>
                <w:color w:val="auto"/>
              </w:rPr>
              <w:t>August 9, 2027</w:t>
            </w:r>
          </w:p>
        </w:tc>
        <w:tc>
          <w:tcPr>
            <w:tcW w:w="0" w:type="dxa"/>
            <w:vAlign w:val="bottom"/>
          </w:tcPr>
          <w:p>
            <w:pPr>
              <w:spacing w:after="0"/>
              <w:rPr>
                <w:sz w:val="1"/>
                <w:szCs w:val="1"/>
                <w:color w:val="auto"/>
              </w:rPr>
            </w:pPr>
          </w:p>
        </w:tc>
      </w:tr>
      <w:tr>
        <w:trPr>
          <w:trHeight w:val="18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Dock 72</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6.93 %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7.19 %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196,980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98,490</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(2)(5)</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December 18, 2025</w:t>
            </w: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7" w:lineRule="exact"/>
              <w:rPr>
                <w:sz w:val="20"/>
                <w:szCs w:val="20"/>
                <w:color w:val="auto"/>
              </w:rPr>
            </w:pPr>
            <w:r>
              <w:rPr>
                <w:rFonts w:ascii="Arial" w:cs="Arial" w:eastAsia="Arial" w:hAnsi="Arial"/>
                <w:sz w:val="13"/>
                <w:szCs w:val="13"/>
                <w:color w:val="auto"/>
              </w:rPr>
              <w:t>The Hub on Causeway -</w:t>
            </w:r>
          </w:p>
        </w:tc>
        <w:tc>
          <w:tcPr>
            <w:tcW w:w="1120" w:type="dxa"/>
            <w:vAlign w:val="bottom"/>
            <w:vMerge w:val="restart"/>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color w:val="auto"/>
              </w:rPr>
              <w:t>6.18 %</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6.35 %</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174,329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174,116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87,058</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rPr>
              <w:t>(2)(6)</w:t>
            </w:r>
          </w:p>
        </w:tc>
        <w:tc>
          <w:tcPr>
            <w:tcW w:w="1760" w:type="dxa"/>
            <w:vAlign w:val="bottom"/>
            <w:vMerge w:val="restart"/>
          </w:tcPr>
          <w:p>
            <w:pPr>
              <w:ind w:left="160"/>
              <w:spacing w:after="0"/>
              <w:rPr>
                <w:sz w:val="20"/>
                <w:szCs w:val="20"/>
                <w:color w:val="auto"/>
              </w:rPr>
            </w:pPr>
            <w:r>
              <w:rPr>
                <w:rFonts w:ascii="Arial" w:cs="Arial" w:eastAsia="Arial" w:hAnsi="Arial"/>
                <w:sz w:val="13"/>
                <w:szCs w:val="13"/>
                <w:color w:val="auto"/>
              </w:rPr>
              <w:t>September 6, 2023</w:t>
            </w:r>
          </w:p>
        </w:tc>
        <w:tc>
          <w:tcPr>
            <w:tcW w:w="0" w:type="dxa"/>
            <w:vAlign w:val="bottom"/>
          </w:tcPr>
          <w:p>
            <w:pPr>
              <w:spacing w:after="0"/>
              <w:rPr>
                <w:sz w:val="1"/>
                <w:szCs w:val="1"/>
                <w:color w:val="auto"/>
              </w:rPr>
            </w:pPr>
          </w:p>
        </w:tc>
      </w:tr>
      <w:tr>
        <w:trPr>
          <w:trHeight w:val="150"/>
        </w:trPr>
        <w:tc>
          <w:tcPr>
            <w:tcW w:w="1520" w:type="dxa"/>
            <w:vAlign w:val="bottom"/>
            <w:gridSpan w:val="2"/>
          </w:tcPr>
          <w:p>
            <w:pPr>
              <w:ind w:left="80"/>
              <w:spacing w:after="0"/>
              <w:rPr>
                <w:sz w:val="20"/>
                <w:szCs w:val="20"/>
                <w:color w:val="auto"/>
              </w:rPr>
            </w:pPr>
            <w:r>
              <w:rPr>
                <w:rFonts w:ascii="Arial" w:cs="Arial" w:eastAsia="Arial" w:hAnsi="Arial"/>
                <w:sz w:val="13"/>
                <w:szCs w:val="13"/>
                <w:color w:val="auto"/>
              </w:rPr>
              <w:t>Podium</w:t>
            </w:r>
          </w:p>
        </w:tc>
        <w:tc>
          <w:tcPr>
            <w:tcW w:w="1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Hub50House</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4.43 %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4.51 %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183,710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91,854</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(2)(7)</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June 17, 2032</w:t>
            </w: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100 Causeway Street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5.17 %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5.38 %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337,604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337,024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168,512</w:t>
            </w:r>
          </w:p>
        </w:tc>
        <w:tc>
          <w:tcPr>
            <w:tcW w:w="680" w:type="dxa"/>
            <w:vAlign w:val="bottom"/>
          </w:tcPr>
          <w:p>
            <w:pPr>
              <w:ind w:left="120"/>
              <w:spacing w:after="0"/>
              <w:rPr>
                <w:sz w:val="20"/>
                <w:szCs w:val="20"/>
                <w:color w:val="auto"/>
              </w:rPr>
            </w:pPr>
            <w:r>
              <w:rPr>
                <w:rFonts w:ascii="Arial" w:cs="Arial" w:eastAsia="Arial" w:hAnsi="Arial"/>
                <w:sz w:val="13"/>
                <w:szCs w:val="13"/>
                <w:color w:val="auto"/>
              </w:rPr>
              <w:t>(2)(8)</w:t>
            </w:r>
          </w:p>
        </w:tc>
        <w:tc>
          <w:tcPr>
            <w:tcW w:w="1760" w:type="dxa"/>
            <w:vAlign w:val="bottom"/>
          </w:tcPr>
          <w:p>
            <w:pPr>
              <w:ind w:left="160"/>
              <w:spacing w:after="0"/>
              <w:rPr>
                <w:sz w:val="20"/>
                <w:szCs w:val="20"/>
                <w:color w:val="auto"/>
              </w:rPr>
            </w:pPr>
            <w:r>
              <w:rPr>
                <w:rFonts w:ascii="Arial" w:cs="Arial" w:eastAsia="Arial" w:hAnsi="Arial"/>
                <w:sz w:val="13"/>
                <w:szCs w:val="13"/>
                <w:color w:val="auto"/>
              </w:rPr>
              <w:t>September 5, 2023</w:t>
            </w:r>
          </w:p>
        </w:tc>
        <w:tc>
          <w:tcPr>
            <w:tcW w:w="0" w:type="dxa"/>
            <w:vAlign w:val="bottom"/>
          </w:tcPr>
          <w:p>
            <w:pPr>
              <w:spacing w:after="0"/>
              <w:rPr>
                <w:sz w:val="1"/>
                <w:szCs w:val="1"/>
                <w:color w:val="auto"/>
              </w:rPr>
            </w:pPr>
          </w:p>
        </w:tc>
      </w:tr>
      <w:tr>
        <w:trPr>
          <w:trHeight w:val="151"/>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7750 Wisconsin Avenue</w:t>
            </w:r>
          </w:p>
        </w:tc>
        <w:tc>
          <w:tcPr>
            <w:tcW w:w="1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2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3"/>
                <w:szCs w:val="13"/>
                <w:color w:val="auto"/>
              </w:rPr>
              <w:t>(Marriott International</w:t>
            </w: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50.00 %</w:t>
            </w:r>
          </w:p>
        </w:tc>
        <w:tc>
          <w:tcPr>
            <w:tcW w:w="9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4.90 %</w:t>
            </w: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5.44 %</w:t>
            </w: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251,542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251,078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125,539</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(2)(9)</w:t>
            </w:r>
          </w:p>
        </w:tc>
        <w:tc>
          <w:tcPr>
            <w:tcW w:w="176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April 26, 2023</w:t>
            </w:r>
          </w:p>
        </w:tc>
        <w:tc>
          <w:tcPr>
            <w:tcW w:w="0" w:type="dxa"/>
            <w:vAlign w:val="bottom"/>
          </w:tcPr>
          <w:p>
            <w:pPr>
              <w:spacing w:after="0"/>
              <w:rPr>
                <w:sz w:val="1"/>
                <w:szCs w:val="1"/>
                <w:color w:val="auto"/>
              </w:rPr>
            </w:pPr>
          </w:p>
        </w:tc>
      </w:tr>
      <w:tr>
        <w:trPr>
          <w:trHeight w:val="150"/>
        </w:trPr>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Headquarters)</w:t>
            </w:r>
          </w:p>
        </w:tc>
        <w:tc>
          <w:tcPr>
            <w:tcW w:w="112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360 Park Avenue South</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42.21 %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6.31 %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6.77 %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209,082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207,125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87,427</w:t>
            </w:r>
          </w:p>
        </w:tc>
        <w:tc>
          <w:tcPr>
            <w:tcW w:w="680" w:type="dxa"/>
            <w:vAlign w:val="bottom"/>
          </w:tcPr>
          <w:p>
            <w:pPr>
              <w:ind w:left="120"/>
              <w:spacing w:after="0"/>
              <w:rPr>
                <w:sz w:val="20"/>
                <w:szCs w:val="20"/>
                <w:color w:val="auto"/>
              </w:rPr>
            </w:pPr>
            <w:r>
              <w:rPr>
                <w:rFonts w:ascii="Arial" w:cs="Arial" w:eastAsia="Arial" w:hAnsi="Arial"/>
                <w:sz w:val="13"/>
                <w:szCs w:val="13"/>
                <w:color w:val="auto"/>
              </w:rPr>
              <w:t>(2)(10)</w:t>
            </w:r>
          </w:p>
        </w:tc>
        <w:tc>
          <w:tcPr>
            <w:tcW w:w="1760" w:type="dxa"/>
            <w:vAlign w:val="bottom"/>
          </w:tcPr>
          <w:p>
            <w:pPr>
              <w:ind w:left="160"/>
              <w:spacing w:after="0"/>
              <w:rPr>
                <w:sz w:val="20"/>
                <w:szCs w:val="20"/>
                <w:color w:val="auto"/>
              </w:rPr>
            </w:pPr>
            <w:r>
              <w:rPr>
                <w:rFonts w:ascii="Arial" w:cs="Arial" w:eastAsia="Arial" w:hAnsi="Arial"/>
                <w:sz w:val="13"/>
                <w:szCs w:val="13"/>
                <w:color w:val="auto"/>
              </w:rPr>
              <w:t>December 14, 2024</w:t>
            </w:r>
          </w:p>
        </w:tc>
        <w:tc>
          <w:tcPr>
            <w:tcW w:w="0" w:type="dxa"/>
            <w:vAlign w:val="bottom"/>
          </w:tcPr>
          <w:p>
            <w:pPr>
              <w:spacing w:after="0"/>
              <w:rPr>
                <w:sz w:val="1"/>
                <w:szCs w:val="1"/>
                <w:color w:val="auto"/>
              </w:rPr>
            </w:pPr>
          </w:p>
        </w:tc>
      </w:tr>
      <w:tr>
        <w:trPr>
          <w:trHeight w:val="18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Safeco Plaza</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33.67 %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4.82 %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4.96 %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248,753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83,755</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(2)(11)</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September 1, 2026</w:t>
            </w: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7" w:lineRule="exact"/>
              <w:rPr>
                <w:sz w:val="20"/>
                <w:szCs w:val="20"/>
                <w:color w:val="auto"/>
              </w:rPr>
            </w:pPr>
            <w:r>
              <w:rPr>
                <w:rFonts w:ascii="Arial" w:cs="Arial" w:eastAsia="Arial" w:hAnsi="Arial"/>
                <w:sz w:val="13"/>
                <w:szCs w:val="13"/>
                <w:color w:val="auto"/>
              </w:rPr>
              <w:t>500 North Capitol Street,</w:t>
            </w:r>
          </w:p>
        </w:tc>
        <w:tc>
          <w:tcPr>
            <w:tcW w:w="1120" w:type="dxa"/>
            <w:vAlign w:val="bottom"/>
            <w:vMerge w:val="restart"/>
          </w:tcPr>
          <w:p>
            <w:pPr>
              <w:jc w:val="right"/>
              <w:ind w:right="17"/>
              <w:spacing w:after="0"/>
              <w:rPr>
                <w:sz w:val="20"/>
                <w:szCs w:val="20"/>
                <w:color w:val="auto"/>
              </w:rPr>
            </w:pPr>
            <w:r>
              <w:rPr>
                <w:rFonts w:ascii="Arial" w:cs="Arial" w:eastAsia="Arial" w:hAnsi="Arial"/>
                <w:sz w:val="13"/>
                <w:szCs w:val="13"/>
                <w:color w:val="auto"/>
              </w:rPr>
              <w:t>30.00 %</w:t>
            </w: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color w:val="auto"/>
              </w:rPr>
              <w:t>4.15 %</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4.20 %</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104,975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31,493</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rPr>
              <w:t>(2)</w:t>
            </w:r>
          </w:p>
        </w:tc>
        <w:tc>
          <w:tcPr>
            <w:tcW w:w="1760" w:type="dxa"/>
            <w:vAlign w:val="bottom"/>
            <w:vMerge w:val="restart"/>
          </w:tcPr>
          <w:p>
            <w:pPr>
              <w:ind w:left="160"/>
              <w:spacing w:after="0"/>
              <w:rPr>
                <w:sz w:val="20"/>
                <w:szCs w:val="20"/>
                <w:color w:val="auto"/>
              </w:rPr>
            </w:pPr>
            <w:r>
              <w:rPr>
                <w:rFonts w:ascii="Arial" w:cs="Arial" w:eastAsia="Arial" w:hAnsi="Arial"/>
                <w:sz w:val="13"/>
                <w:szCs w:val="13"/>
                <w:color w:val="auto"/>
              </w:rPr>
              <w:t>June 6, 2023</w:t>
            </w:r>
          </w:p>
        </w:tc>
        <w:tc>
          <w:tcPr>
            <w:tcW w:w="0" w:type="dxa"/>
            <w:vAlign w:val="bottom"/>
          </w:tcPr>
          <w:p>
            <w:pPr>
              <w:spacing w:after="0"/>
              <w:rPr>
                <w:sz w:val="1"/>
                <w:szCs w:val="1"/>
                <w:color w:val="auto"/>
              </w:rPr>
            </w:pPr>
          </w:p>
        </w:tc>
      </w:tr>
      <w:tr>
        <w:trPr>
          <w:trHeight w:val="150"/>
        </w:trPr>
        <w:tc>
          <w:tcPr>
            <w:tcW w:w="1520" w:type="dxa"/>
            <w:vAlign w:val="bottom"/>
            <w:gridSpan w:val="2"/>
          </w:tcPr>
          <w:p>
            <w:pPr>
              <w:ind w:left="80"/>
              <w:spacing w:after="0"/>
              <w:rPr>
                <w:sz w:val="20"/>
                <w:szCs w:val="20"/>
                <w:color w:val="auto"/>
              </w:rPr>
            </w:pPr>
            <w:r>
              <w:rPr>
                <w:rFonts w:ascii="Arial" w:cs="Arial" w:eastAsia="Arial" w:hAnsi="Arial"/>
                <w:sz w:val="13"/>
                <w:szCs w:val="13"/>
                <w:color w:val="auto"/>
              </w:rPr>
              <w:t>NW</w:t>
            </w:r>
          </w:p>
        </w:tc>
        <w:tc>
          <w:tcPr>
            <w:tcW w:w="1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200 Fifth Avenue</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26.69 %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4.34 %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5.60 %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590,151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148,697</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(2)(12)</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November 24, 2028</w:t>
            </w: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901 New York Avenue</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25.00 %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3.61 %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3.69 %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212,200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211,843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52,961</w:t>
            </w:r>
          </w:p>
        </w:tc>
        <w:tc>
          <w:tcPr>
            <w:tcW w:w="680" w:type="dxa"/>
            <w:vAlign w:val="bottom"/>
          </w:tcPr>
          <w:p>
            <w:pPr>
              <w:spacing w:after="0"/>
              <w:rPr>
                <w:sz w:val="15"/>
                <w:szCs w:val="15"/>
                <w:color w:val="auto"/>
              </w:rPr>
            </w:pPr>
          </w:p>
        </w:tc>
        <w:tc>
          <w:tcPr>
            <w:tcW w:w="1760" w:type="dxa"/>
            <w:vAlign w:val="bottom"/>
          </w:tcPr>
          <w:p>
            <w:pPr>
              <w:ind w:left="160"/>
              <w:spacing w:after="0"/>
              <w:rPr>
                <w:sz w:val="20"/>
                <w:szCs w:val="20"/>
                <w:color w:val="auto"/>
              </w:rPr>
            </w:pPr>
            <w:r>
              <w:rPr>
                <w:rFonts w:ascii="Arial" w:cs="Arial" w:eastAsia="Arial" w:hAnsi="Arial"/>
                <w:sz w:val="13"/>
                <w:szCs w:val="13"/>
                <w:color w:val="auto"/>
              </w:rPr>
              <w:t>January 5, 2025</w:t>
            </w:r>
          </w:p>
        </w:tc>
        <w:tc>
          <w:tcPr>
            <w:tcW w:w="0" w:type="dxa"/>
            <w:vAlign w:val="bottom"/>
          </w:tcPr>
          <w:p>
            <w:pPr>
              <w:spacing w:after="0"/>
              <w:rPr>
                <w:sz w:val="1"/>
                <w:szCs w:val="1"/>
                <w:color w:val="auto"/>
              </w:rPr>
            </w:pPr>
          </w:p>
        </w:tc>
      </w:tr>
      <w:tr>
        <w:trPr>
          <w:trHeight w:val="18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 Hudson Boulevard</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25.00 %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7.29 %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7.37 %</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79,968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19,992</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(2)(13)</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July 13, 2023</w:t>
            </w: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Metropolitan Square</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20.00 %</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6.59 %</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7.36 %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415,842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83,168</w:t>
            </w:r>
          </w:p>
        </w:tc>
        <w:tc>
          <w:tcPr>
            <w:tcW w:w="680" w:type="dxa"/>
            <w:vAlign w:val="bottom"/>
          </w:tcPr>
          <w:p>
            <w:pPr>
              <w:ind w:left="120"/>
              <w:spacing w:after="0"/>
              <w:rPr>
                <w:sz w:val="20"/>
                <w:szCs w:val="20"/>
                <w:color w:val="auto"/>
              </w:rPr>
            </w:pPr>
            <w:r>
              <w:rPr>
                <w:rFonts w:ascii="Arial" w:cs="Arial" w:eastAsia="Arial" w:hAnsi="Arial"/>
                <w:sz w:val="13"/>
                <w:szCs w:val="13"/>
                <w:color w:val="auto"/>
              </w:rPr>
              <w:t>(2)(14)</w:t>
            </w:r>
          </w:p>
        </w:tc>
        <w:tc>
          <w:tcPr>
            <w:tcW w:w="1760" w:type="dxa"/>
            <w:vAlign w:val="bottom"/>
          </w:tcPr>
          <w:p>
            <w:pPr>
              <w:ind w:left="160"/>
              <w:spacing w:after="0"/>
              <w:rPr>
                <w:sz w:val="20"/>
                <w:szCs w:val="20"/>
                <w:color w:val="auto"/>
              </w:rPr>
            </w:pPr>
            <w:r>
              <w:rPr>
                <w:rFonts w:ascii="Arial" w:cs="Arial" w:eastAsia="Arial" w:hAnsi="Arial"/>
                <w:sz w:val="13"/>
                <w:szCs w:val="13"/>
                <w:color w:val="auto"/>
              </w:rPr>
              <w:t>April 9, 2024</w:t>
            </w:r>
          </w:p>
        </w:tc>
        <w:tc>
          <w:tcPr>
            <w:tcW w:w="0" w:type="dxa"/>
            <w:vAlign w:val="bottom"/>
          </w:tcPr>
          <w:p>
            <w:pPr>
              <w:spacing w:after="0"/>
              <w:rPr>
                <w:sz w:val="1"/>
                <w:szCs w:val="1"/>
                <w:color w:val="auto"/>
              </w:rPr>
            </w:pPr>
          </w:p>
        </w:tc>
      </w:tr>
      <w:tr>
        <w:trPr>
          <w:trHeight w:val="178"/>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Reston Next Residential</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20.00 %</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5.74 %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6.06 %</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15,184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13,677</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(2)(15)</w:t>
            </w:r>
          </w:p>
        </w:tc>
        <w:tc>
          <w:tcPr>
            <w:tcW w:w="1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May 13, 2026</w:t>
            </w:r>
          </w:p>
        </w:tc>
        <w:tc>
          <w:tcPr>
            <w:tcW w:w="0" w:type="dxa"/>
            <w:vAlign w:val="bottom"/>
          </w:tcPr>
          <w:p>
            <w:pPr>
              <w:spacing w:after="0"/>
              <w:rPr>
                <w:sz w:val="1"/>
                <w:szCs w:val="1"/>
                <w:color w:val="auto"/>
              </w:rPr>
            </w:pPr>
          </w:p>
        </w:tc>
      </w:tr>
      <w:tr>
        <w:trPr>
          <w:trHeight w:val="174"/>
        </w:trPr>
        <w:tc>
          <w:tcPr>
            <w:tcW w:w="152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4,048,909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4,022,746</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1,600,367</w:t>
            </w: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60" w:hanging="281"/>
        <w:spacing w:after="0"/>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GAAP interest rate differs from the stated interest rate due to the inclusion of the amortization of financing charges, which includes mortgage recording fees.</w:t>
      </w:r>
    </w:p>
    <w:p>
      <w:pPr>
        <w:spacing w:after="0" w:line="4" w:lineRule="exact"/>
        <w:rPr>
          <w:rFonts w:ascii="Arial" w:cs="Arial" w:eastAsia="Arial" w:hAnsi="Arial"/>
          <w:sz w:val="14"/>
          <w:szCs w:val="14"/>
          <w:color w:val="auto"/>
        </w:rPr>
      </w:pPr>
    </w:p>
    <w:p>
      <w:pPr>
        <w:ind w:left="560" w:hanging="281"/>
        <w:spacing w:after="0"/>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requires interest only payments with a balloon payment due at maturity.</w:t>
      </w:r>
    </w:p>
    <w:p>
      <w:pPr>
        <w:spacing w:after="0" w:line="16" w:lineRule="exact"/>
        <w:rPr>
          <w:rFonts w:ascii="Arial" w:cs="Arial" w:eastAsia="Arial" w:hAnsi="Arial"/>
          <w:sz w:val="14"/>
          <w:szCs w:val="14"/>
          <w:color w:val="auto"/>
        </w:rPr>
      </w:pPr>
    </w:p>
    <w:p>
      <w:pPr>
        <w:ind w:left="560" w:right="640" w:hanging="281"/>
        <w:spacing w:after="0" w:line="253"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ind w:left="560" w:right="700" w:hanging="281"/>
        <w:spacing w:after="0" w:line="256"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the greater of (1) the sum of (x) LIBOR and (y) 2.30% or (2) 2.80% per annum and matures on November 10, 2025, with one, one-year extension option, subject to certain conditions.</w:t>
      </w:r>
    </w:p>
    <w:p>
      <w:pPr>
        <w:ind w:left="560" w:right="760" w:hanging="281"/>
        <w:spacing w:after="0" w:line="247"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of $198.4 million. The construction financing bears interest at a variable rate equal to (1) the greater of (x) SOFR or (y) 0.25%, plus (2) 2.50% per annum and matures on December 18, 2025.</w:t>
      </w:r>
    </w:p>
    <w:p>
      <w:pPr>
        <w:ind w:left="560" w:right="620" w:hanging="281"/>
        <w:spacing w:after="0" w:line="256"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to $175.8 million. The construction financing bears interest at a variable rate equal to LIBOR plus 2.25% per annum and matures on September 6, 2023.</w:t>
      </w:r>
    </w:p>
    <w:p>
      <w:pPr>
        <w:ind w:left="560" w:right="640" w:hanging="281"/>
        <w:spacing w:after="0" w:line="263"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SOFR plus 1.35% per annum and matures on June 17, 2032. The joint venture entered into interest rate swap contracts with notional amounts aggregating $185.0 million through April 10, 2032, resulting in a fixed rate of approximately 4.432% per annum through the expiration of the interest rate swap contracts.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560" w:right="580" w:hanging="281"/>
        <w:spacing w:after="0" w:line="253"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ind w:left="560" w:right="580" w:hanging="281"/>
        <w:spacing w:after="0" w:line="256"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ind w:left="560" w:right="1180" w:hanging="281"/>
        <w:spacing w:after="0" w:line="256"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Adjusted Term SOFR plus 2.40% per annum and matures on December 14, 2024, with two, one-year extension options, subject to certain conditions. The spread on the variable rate may be reduced, subject to certain conditions.</w:t>
      </w:r>
    </w:p>
    <w:p>
      <w:pPr>
        <w:ind w:left="560" w:right="580" w:hanging="281"/>
        <w:spacing w:after="0" w:line="253"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the greater of (x) 2.35% or (y) SOFR plus 2.32% per annum and matures on September 1, 2026. The joint venture entered into an interest rate cap agreement with a financial institution to limit its exposure to increases in the SOFR rate at a cap of 2.50% per annum on a notional amount of $250.0 million through September 1, 2023.</w:t>
      </w:r>
    </w:p>
    <w:p>
      <w:pPr>
        <w:ind w:left="560" w:right="600" w:hanging="281"/>
        <w:spacing w:after="0" w:line="251"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LIBOR plus 1.30% per annum and matures on November 24, 2028. The joint venture entered into interest rate swap contracts with notional amounts aggregating $600.0 million through June 2028, resulting in a fixed rate of approximately 4.34% per annum through the expiration of the interest rate swap contracts. In addition to items noted in footnote one above, the GAAP interest rate includes the adjustment required to reflect the loan at fair value upon acquisition.</w:t>
      </w:r>
    </w:p>
    <w:p>
      <w:pPr>
        <w:spacing w:after="0" w:line="2" w:lineRule="exact"/>
        <w:rPr>
          <w:rFonts w:ascii="Arial" w:cs="Arial" w:eastAsia="Arial" w:hAnsi="Arial"/>
          <w:sz w:val="14"/>
          <w:szCs w:val="14"/>
          <w:color w:val="auto"/>
        </w:rPr>
      </w:pPr>
    </w:p>
    <w:p>
      <w:pPr>
        <w:jc w:val="both"/>
        <w:ind w:left="560" w:right="980" w:hanging="281"/>
        <w:spacing w:after="0" w:line="259"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 As of December 31, 2022, the loan has approximately $19.1 million of accrued interest due at the maturity date.</w:t>
      </w:r>
    </w:p>
    <w:p>
      <w:pPr>
        <w:ind w:left="560" w:right="580" w:hanging="281"/>
        <w:spacing w:after="0" w:line="254"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indebtedness consists of (x) a $305.0 million mortgage loan payable which bears interest at a variable rate equal to SOFR plus approximately 1.81% and matures on April 9, 2024 with three, one-year extension options, subject to certain conditions, and (y) a $115.0 million mezzanine note payable which bears interest at a variable rate equal to SOFR plus 5.25% and matures on April 9, 2024 with three, one-year extension options, subject to certain conditions. The joint venture entered into an interest rate cap agreement with a financial institution to limit its exposure to increases in the SOFR rate at a cap of 4.50% per annum on a notional amount of $420.0 million through April 15, 2024.</w:t>
      </w:r>
    </w:p>
    <w:p>
      <w:pPr>
        <w:spacing w:after="0" w:line="1" w:lineRule="exact"/>
        <w:rPr>
          <w:rFonts w:ascii="Arial" w:cs="Arial" w:eastAsia="Arial" w:hAnsi="Arial"/>
          <w:sz w:val="14"/>
          <w:szCs w:val="14"/>
          <w:color w:val="auto"/>
        </w:rPr>
      </w:pPr>
    </w:p>
    <w:p>
      <w:pPr>
        <w:ind w:left="560" w:right="600" w:hanging="281"/>
        <w:spacing w:after="0" w:line="261"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of $140.0 million. The construction financing bears interest at a variable rate equal to SOFR plus 2.00% per annum and matures on May 13, 2026, with two, one-year extension options, subject to certain conditions.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Market Risk</w:t>
      </w:r>
    </w:p>
    <w:p>
      <w:pPr>
        <w:spacing w:after="0" w:line="107"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Market risk is the risk of loss from adverse changes in market prices and interest rates. Our future earnings, cash flows and fair values relevant to financial instruments are dependent upon prevalent market interest rates. Our primary market risk results from our indebtedness, which bears interest at fixed and variable rates. The fair value of our debt obligations are affected by changes in the market interest rates. We manage our market risk by matching long-term leases with long-term, fixed-rate, non-recourse debt of similar duration. We continue to follow a conservative strategy of generally pre-leasing development projects on a long-term basis to creditworthy clients in order to achieve the most favorable construction and permanent financing terms. Approximately 94.9% of our outstanding debt, excluding our unconsolidated joint ventures, has fixed interest rates, which minimizes the interest rate risk through the maturity of such outstanding debt. We also manage our market risk by entering into hedging arrangements with financial institutions. Our primary objectives when undertaking hedging transactions and derivative positions is to reduce our floating rate exposure and to fix a portion of the interest rate for anticipated financing and refinancing transactions. This in turn, reduces the risks that the variability of cash flows imposes on variable rate debt. Our strategy mitigates against future increases in our interest rates.</w:t>
      </w:r>
    </w:p>
    <w:p>
      <w:pPr>
        <w:spacing w:after="0" w:line="137"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At December 31, 2022, our weighted-average coupon/stated rate on our fixed rate outstanding Consolidated Debt was 3.51% per annum. At December 31, 2022, we had $730.0 million of consolidated variable rate debt outstanding. At December 31, 2022, the GAAP interest rate on our variable rate debt was approximately 4.85% per annum. If market interest rates on our variable rate debt had been 100 basis points greater, total interest expense would have increased approximately $7.3 million, on an annualized basis, for the year ended December 31, 2022.</w:t>
      </w:r>
    </w:p>
    <w:p>
      <w:pPr>
        <w:spacing w:after="0" w:line="137"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The information above does not include our unconsolidated joint venture debt. For a discussion concerning our unconsolidated joint venture debt, see Note 6 to the Consolidated Financial Statements and “</w:t>
      </w:r>
      <w:r>
        <w:rPr>
          <w:rFonts w:ascii="Arial" w:cs="Arial" w:eastAsia="Arial" w:hAnsi="Arial"/>
          <w:sz w:val="16"/>
          <w:szCs w:val="16"/>
          <w:i w:val="1"/>
          <w:iCs w:val="1"/>
          <w:color w:val="auto"/>
        </w:rPr>
        <w:t>Item 7</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and Capital Resources—Investment in Unconsolidated Joint Ventures - Secured Debt.</w:t>
      </w:r>
      <w:r>
        <w:rPr>
          <w:rFonts w:ascii="Arial" w:cs="Arial" w:eastAsia="Arial" w:hAnsi="Arial"/>
          <w:sz w:val="16"/>
          <w:szCs w:val="16"/>
          <w:color w:val="auto"/>
        </w:rPr>
        <w:t>”</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Funds from Operations</w:t>
      </w:r>
    </w:p>
    <w:p>
      <w:pPr>
        <w:spacing w:after="0" w:line="95" w:lineRule="exact"/>
        <w:rPr>
          <w:sz w:val="20"/>
          <w:szCs w:val="20"/>
          <w:color w:val="auto"/>
        </w:rPr>
      </w:pPr>
    </w:p>
    <w:p>
      <w:pPr>
        <w:ind w:firstLine="391"/>
        <w:spacing w:after="0" w:line="247" w:lineRule="auto"/>
        <w:rPr>
          <w:sz w:val="20"/>
          <w:szCs w:val="20"/>
          <w:color w:val="auto"/>
        </w:rPr>
      </w:pPr>
      <w:r>
        <w:rPr>
          <w:rFonts w:ascii="Arial" w:cs="Arial" w:eastAsia="Arial" w:hAnsi="Arial"/>
          <w:sz w:val="16"/>
          <w:szCs w:val="16"/>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common shareholders and net income (loss) attributable to Boston Properties Limited Partnership common unitholders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45" w:lineRule="exact"/>
        <w:rPr>
          <w:sz w:val="20"/>
          <w:szCs w:val="20"/>
          <w:color w:val="auto"/>
        </w:rPr>
      </w:pPr>
    </w:p>
    <w:p>
      <w:pPr>
        <w:ind w:right="200" w:firstLine="391"/>
        <w:spacing w:after="0" w:line="248" w:lineRule="auto"/>
        <w:rPr>
          <w:sz w:val="20"/>
          <w:szCs w:val="20"/>
          <w:color w:val="auto"/>
        </w:rPr>
      </w:pPr>
      <w:r>
        <w:rPr>
          <w:rFonts w:ascii="Arial" w:cs="Arial" w:eastAsia="Arial" w:hAnsi="Arial"/>
          <w:sz w:val="16"/>
          <w:szCs w:val="16"/>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common shareholders and net income attributable to Boston Properties Limited Partnership common unitholders as presented in our Consolidated Financial Statements. FFO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07" w:lineRule="exact"/>
        <w:rPr>
          <w:sz w:val="20"/>
          <w:szCs w:val="20"/>
          <w:color w:val="auto"/>
        </w:rPr>
      </w:pPr>
    </w:p>
    <w:p>
      <w:pPr>
        <w:ind w:right="500" w:firstLine="391"/>
        <w:spacing w:after="0" w:line="253" w:lineRule="auto"/>
        <w:rPr>
          <w:sz w:val="20"/>
          <w:szCs w:val="20"/>
          <w:color w:val="auto"/>
        </w:rPr>
      </w:pPr>
      <w:r>
        <w:rPr>
          <w:rFonts w:ascii="Arial" w:cs="Arial" w:eastAsia="Arial" w:hAnsi="Arial"/>
          <w:sz w:val="16"/>
          <w:szCs w:val="16"/>
          <w:color w:val="auto"/>
        </w:rPr>
        <w:t>The following table presents a reconciliation of net income attributable to Boston Properties, Inc. common shareholders to FFO attributable to Boston Properties, Inc. common shareholders for the years ended December 31, 2022,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Inc. common shareholders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848,947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496,223</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862,227</w:t>
            </w:r>
          </w:p>
        </w:tc>
        <w:tc>
          <w:tcPr>
            <w:tcW w:w="0" w:type="dxa"/>
            <w:vAlign w:val="bottom"/>
          </w:tcPr>
          <w:p>
            <w:pPr>
              <w:spacing w:after="0"/>
              <w:rPr>
                <w:sz w:val="1"/>
                <w:szCs w:val="1"/>
                <w:color w:val="auto"/>
              </w:rPr>
            </w:pPr>
          </w:p>
        </w:tc>
      </w:tr>
      <w:tr>
        <w:trPr>
          <w:trHeight w:val="187"/>
        </w:trPr>
        <w:tc>
          <w:tcPr>
            <w:tcW w:w="6420" w:type="dxa"/>
            <w:vAlign w:val="bottom"/>
          </w:tcPr>
          <w:p>
            <w:pPr>
              <w:ind w:left="20"/>
              <w:spacing w:after="0"/>
              <w:rPr>
                <w:sz w:val="20"/>
                <w:szCs w:val="20"/>
                <w:color w:val="auto"/>
              </w:rPr>
            </w:pPr>
            <w:r>
              <w:rPr>
                <w:rFonts w:ascii="Arial" w:cs="Arial" w:eastAsia="Arial" w:hAnsi="Arial"/>
                <w:sz w:val="14"/>
                <w:szCs w:val="14"/>
                <w:color w:val="auto"/>
              </w:rPr>
              <w:t>Add: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redemption charge</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6,412</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Preferred dividends</w:t>
            </w:r>
          </w:p>
        </w:tc>
        <w:tc>
          <w:tcPr>
            <w:tcW w:w="3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2,560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96,780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55,931</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97,704</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74,857</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70,806</w:t>
            </w:r>
          </w:p>
        </w:tc>
        <w:tc>
          <w:tcPr>
            <w:tcW w:w="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48,260</w:t>
            </w:r>
          </w:p>
        </w:tc>
        <w:tc>
          <w:tcPr>
            <w:tcW w:w="0" w:type="dxa"/>
            <w:vAlign w:val="bottom"/>
          </w:tcPr>
          <w:p>
            <w:pPr>
              <w:spacing w:after="0"/>
              <w:rPr>
                <w:sz w:val="1"/>
                <w:szCs w:val="1"/>
                <w:color w:val="auto"/>
              </w:rPr>
            </w:pP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1,020,584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631,932</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1,018,691</w:t>
            </w:r>
          </w:p>
        </w:tc>
        <w:tc>
          <w:tcPr>
            <w:tcW w:w="0" w:type="dxa"/>
            <w:vAlign w:val="bottom"/>
          </w:tcPr>
          <w:p>
            <w:pPr>
              <w:spacing w:after="0"/>
              <w:rPr>
                <w:sz w:val="1"/>
                <w:szCs w:val="1"/>
                <w:color w:val="auto"/>
              </w:rPr>
            </w:pPr>
          </w:p>
        </w:tc>
      </w:tr>
      <w:tr>
        <w:trPr>
          <w:trHeight w:val="187"/>
        </w:trPr>
        <w:tc>
          <w:tcPr>
            <w:tcW w:w="6420" w:type="dxa"/>
            <w:vAlign w:val="bottom"/>
          </w:tcPr>
          <w:p>
            <w:pPr>
              <w:ind w:left="20"/>
              <w:spacing w:after="0"/>
              <w:rPr>
                <w:sz w:val="20"/>
                <w:szCs w:val="20"/>
                <w:color w:val="auto"/>
              </w:rPr>
            </w:pPr>
            <w:r>
              <w:rPr>
                <w:rFonts w:ascii="Arial" w:cs="Arial" w:eastAsia="Arial" w:hAnsi="Arial"/>
                <w:sz w:val="14"/>
                <w:szCs w:val="14"/>
                <w:color w:val="auto"/>
              </w:rPr>
              <w:t>Add: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749,775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717,336</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683,751</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(70,208)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(67,825)</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(71,850)</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89,275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71,966</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80,925</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(1,679)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(1,753)</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 on investment in unconsolidated joint venture (1)</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50,705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60,524</w:t>
            </w:r>
          </w:p>
        </w:tc>
        <w:tc>
          <w:tcPr>
            <w:tcW w:w="0" w:type="dxa"/>
            <w:vAlign w:val="bottom"/>
          </w:tcPr>
          <w:p>
            <w:pPr>
              <w:spacing w:after="0"/>
              <w:rPr>
                <w:sz w:val="1"/>
                <w:szCs w:val="1"/>
                <w:color w:val="auto"/>
              </w:rPr>
            </w:pPr>
          </w:p>
        </w:tc>
      </w:tr>
      <w:tr>
        <w:trPr>
          <w:trHeight w:val="187"/>
        </w:trPr>
        <w:tc>
          <w:tcPr>
            <w:tcW w:w="6420" w:type="dxa"/>
            <w:vAlign w:val="bottom"/>
          </w:tcPr>
          <w:p>
            <w:pPr>
              <w:ind w:left="20"/>
              <w:spacing w:after="0"/>
              <w:rPr>
                <w:sz w:val="20"/>
                <w:szCs w:val="20"/>
                <w:color w:val="auto"/>
              </w:rPr>
            </w:pPr>
            <w:r>
              <w:rPr>
                <w:rFonts w:ascii="Arial" w:cs="Arial" w:eastAsia="Arial" w:hAnsi="Arial"/>
                <w:sz w:val="14"/>
                <w:szCs w:val="14"/>
                <w:color w:val="auto"/>
              </w:rPr>
              <w:t>Less: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of real estate included within (loss) income from unconsolidated joint ventures (2)</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10,257</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5,958</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3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437,019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123,660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618,982</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sales-type lease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10,058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3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74,857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70,806</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48,260</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Preferred dividends</w:t>
            </w:r>
          </w:p>
        </w:tc>
        <w:tc>
          <w:tcPr>
            <w:tcW w:w="3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2,560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redemption charge</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6,412</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6420" w:type="dxa"/>
            <w:vAlign w:val="bottom"/>
          </w:tcPr>
          <w:p>
            <w:pPr>
              <w:ind w:left="20"/>
              <w:spacing w:after="0" w:line="136" w:lineRule="exact"/>
              <w:rPr>
                <w:sz w:val="20"/>
                <w:szCs w:val="20"/>
                <w:color w:val="auto"/>
              </w:rPr>
            </w:pPr>
            <w:r>
              <w:rPr>
                <w:rFonts w:ascii="Arial" w:cs="Arial" w:eastAsia="Arial" w:hAnsi="Arial"/>
                <w:sz w:val="14"/>
                <w:szCs w:val="14"/>
                <w:color w:val="auto"/>
              </w:rPr>
              <w:t>Funds from Operations (FFO) attributable to the Operating Partnership common unitholders</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420" w:type="dxa"/>
            <w:vAlign w:val="bottom"/>
          </w:tcPr>
          <w:p>
            <w:pPr>
              <w:ind w:left="300"/>
              <w:spacing w:after="0"/>
              <w:rPr>
                <w:sz w:val="20"/>
                <w:szCs w:val="20"/>
                <w:color w:val="auto"/>
              </w:rPr>
            </w:pPr>
            <w:r>
              <w:rPr>
                <w:rFonts w:ascii="Arial" w:cs="Arial" w:eastAsia="Arial" w:hAnsi="Arial"/>
                <w:sz w:val="14"/>
                <w:szCs w:val="14"/>
                <w:color w:val="auto"/>
              </w:rPr>
              <w:t>(including Boston Properties, Inc.)</w:t>
            </w:r>
          </w:p>
        </w:tc>
        <w:tc>
          <w:tcPr>
            <w:tcW w:w="32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1,316,668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1,137,961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1,086,501</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20" w:type="dxa"/>
            <w:vAlign w:val="bottom"/>
          </w:tcPr>
          <w:p>
            <w:pPr>
              <w:ind w:left="300"/>
              <w:spacing w:after="0" w:line="156" w:lineRule="exact"/>
              <w:rPr>
                <w:sz w:val="20"/>
                <w:szCs w:val="20"/>
                <w:color w:val="auto"/>
              </w:rPr>
            </w:pPr>
            <w:r>
              <w:rPr>
                <w:rFonts w:ascii="Arial" w:cs="Arial" w:eastAsia="Arial" w:hAnsi="Arial"/>
                <w:sz w:val="14"/>
                <w:szCs w:val="14"/>
                <w:color w:val="auto"/>
              </w:rPr>
              <w:t>Noncontrolling interest—common units of the Operating Partnership’s share of funds from</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operations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133,115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111,975</w:t>
            </w:r>
          </w:p>
        </w:tc>
        <w:tc>
          <w:tcPr>
            <w:tcW w:w="5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108,310</w:t>
            </w:r>
          </w:p>
        </w:tc>
        <w:tc>
          <w:tcPr>
            <w:tcW w:w="0" w:type="dxa"/>
            <w:vAlign w:val="bottom"/>
          </w:tcPr>
          <w:p>
            <w:pPr>
              <w:spacing w:after="0"/>
              <w:rPr>
                <w:sz w:val="1"/>
                <w:szCs w:val="1"/>
                <w:color w:val="auto"/>
              </w:rPr>
            </w:pPr>
          </w:p>
        </w:tc>
      </w:tr>
      <w:tr>
        <w:trPr>
          <w:trHeight w:val="20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Funds from Operations attributable to Boston Properties, Inc. common shareholders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1,183,553</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1,025,986</w:t>
            </w: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978,191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Our percentage share of Funds from Operations—basic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89.89 %</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90.16 %</w:t>
            </w:r>
          </w:p>
        </w:tc>
        <w:tc>
          <w:tcPr>
            <w:tcW w:w="5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90.03 %</w:t>
            </w:r>
          </w:p>
        </w:tc>
        <w:tc>
          <w:tcPr>
            <w:tcW w:w="0" w:type="dxa"/>
            <w:vAlign w:val="bottom"/>
          </w:tcPr>
          <w:p>
            <w:pPr>
              <w:spacing w:after="0"/>
              <w:rPr>
                <w:sz w:val="1"/>
                <w:szCs w:val="1"/>
                <w:color w:val="auto"/>
              </w:rPr>
            </w:pPr>
          </w:p>
        </w:tc>
      </w:tr>
      <w:tr>
        <w:trPr>
          <w:trHeight w:val="18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outstanding—basic</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156,726</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156,116</w:t>
            </w:r>
          </w:p>
        </w:tc>
        <w:tc>
          <w:tcPr>
            <w:tcW w:w="5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155,432</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00" w:right="120" w:hanging="292"/>
        <w:spacing w:after="0" w:line="247" w:lineRule="auto"/>
        <w:tabs>
          <w:tab w:leader="none" w:pos="496"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impairment loss on investment in unconsolidated joint venture consists of an other-than-temporary decline in the fair value below the carrying value of our investment in the Dock 72 unconsolidated joint venture for the years ended December 31, 2022 and December 31, 2020.</w:t>
      </w:r>
    </w:p>
    <w:p>
      <w:pPr>
        <w:ind w:left="500" w:right="60" w:hanging="292"/>
        <w:spacing w:after="0" w:line="263" w:lineRule="auto"/>
        <w:tabs>
          <w:tab w:leader="none" w:pos="496"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the portion of income from unconsolidated joint ventures related to the gain on sale of real estate associated with the sale of our ownership interest in the joint venture that owned Annapolis Junction Buildings Six and Seven for the year ended December 31, 2021 and Annapolis Junction Building Eight and two land parcels for the year ended December 31, 2020.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tables presents a reconciliation of net income attributable to Boston Properties, Inc. common shareholders to Diluted FFO attributable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Boston Properties, Inc. for income (numerator) and shares/units (denominator) for the years ended December 31, 2022,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4"/>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81"/>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Inc. common shareholders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848,947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496,223</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862,227</w:t>
            </w:r>
          </w:p>
        </w:tc>
      </w:tr>
      <w:tr>
        <w:trPr>
          <w:trHeight w:val="187"/>
        </w:trPr>
        <w:tc>
          <w:tcPr>
            <w:tcW w:w="670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redemption charge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Preferred dividends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10,500</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55,931</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97,704</w:t>
            </w:r>
          </w:p>
        </w:tc>
      </w:tr>
      <w:tr>
        <w:trPr>
          <w:trHeight w:val="187"/>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74,857</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70,806</w:t>
            </w: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48,260</w:t>
            </w:r>
          </w:p>
        </w:tc>
      </w:tr>
      <w:tr>
        <w:trPr>
          <w:trHeight w:val="184"/>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1,020,584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631,932</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1,018,691</w:t>
            </w:r>
          </w:p>
        </w:tc>
      </w:tr>
      <w:tr>
        <w:trPr>
          <w:trHeight w:val="187"/>
        </w:trPr>
        <w:tc>
          <w:tcPr>
            <w:tcW w:w="670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749,775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717,336</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683,751</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(70,208)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(67,825)</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(71,850)</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71,966</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80,925</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(1,753)</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 on investment in unconsolidated joint venture (1)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60,524</w:t>
            </w:r>
          </w:p>
        </w:tc>
      </w:tr>
      <w:tr>
        <w:trPr>
          <w:trHeight w:val="187"/>
        </w:trPr>
        <w:tc>
          <w:tcPr>
            <w:tcW w:w="6700" w:type="dxa"/>
            <w:vAlign w:val="bottom"/>
          </w:tcPr>
          <w:p>
            <w:pPr>
              <w:ind w:left="2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of real estate included within (loss) income from unconsolidated joint ventures (2)</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10,257</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123,660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618,982</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sales-type lease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74,857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48,260</w:t>
            </w: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Preferred dividends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10,500</w:t>
            </w: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redemption charge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5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6"/>
        </w:trPr>
        <w:tc>
          <w:tcPr>
            <w:tcW w:w="6700" w:type="dxa"/>
            <w:vAlign w:val="bottom"/>
          </w:tcPr>
          <w:p>
            <w:pPr>
              <w:ind w:left="20"/>
              <w:spacing w:after="0" w:line="136" w:lineRule="exact"/>
              <w:rPr>
                <w:sz w:val="20"/>
                <w:szCs w:val="20"/>
                <w:color w:val="auto"/>
              </w:rPr>
            </w:pPr>
            <w:r>
              <w:rPr>
                <w:rFonts w:ascii="Arial" w:cs="Arial" w:eastAsia="Arial" w:hAnsi="Arial"/>
                <w:sz w:val="14"/>
                <w:szCs w:val="14"/>
                <w:color w:val="auto"/>
              </w:rPr>
              <w:t>Funds from Operations (FFO) attributable to the Operating Partnership common unitholders (including</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3"/>
        </w:trPr>
        <w:tc>
          <w:tcPr>
            <w:tcW w:w="6700" w:type="dxa"/>
            <w:vAlign w:val="bottom"/>
          </w:tcPr>
          <w:p>
            <w:pPr>
              <w:ind w:left="300"/>
              <w:spacing w:after="0"/>
              <w:rPr>
                <w:sz w:val="20"/>
                <w:szCs w:val="20"/>
                <w:color w:val="auto"/>
              </w:rPr>
            </w:pPr>
            <w:r>
              <w:rPr>
                <w:rFonts w:ascii="Arial" w:cs="Arial" w:eastAsia="Arial" w:hAnsi="Arial"/>
                <w:sz w:val="14"/>
                <w:szCs w:val="14"/>
                <w:color w:val="auto"/>
              </w:rPr>
              <w:t>Boston Properties, Inc.)</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1,316,668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1,137,961</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1,086,501</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FFO</w:t>
            </w: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1,316,668</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1,137,961</w:t>
            </w:r>
          </w:p>
        </w:tc>
        <w:tc>
          <w:tcPr>
            <w:tcW w:w="5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1,086,501</w:t>
            </w:r>
          </w:p>
        </w:tc>
      </w:tr>
      <w:tr>
        <w:trPr>
          <w:trHeight w:val="187"/>
        </w:trPr>
        <w:tc>
          <w:tcPr>
            <w:tcW w:w="6700" w:type="dxa"/>
            <w:vAlign w:val="bottom"/>
          </w:tcPr>
          <w:p>
            <w:pPr>
              <w:ind w:left="2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Partnership’s share of diluted FFO</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132,852</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111,748</w:t>
            </w:r>
          </w:p>
        </w:tc>
        <w:tc>
          <w:tcPr>
            <w:tcW w:w="5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108,256</w:t>
            </w:r>
          </w:p>
        </w:tc>
      </w:tr>
      <w:tr>
        <w:trPr>
          <w:trHeight w:val="184"/>
        </w:trPr>
        <w:tc>
          <w:tcPr>
            <w:tcW w:w="6700" w:type="dxa"/>
            <w:vAlign w:val="bottom"/>
          </w:tcPr>
          <w:p>
            <w:pPr>
              <w:ind w:left="20"/>
              <w:spacing w:after="0"/>
              <w:rPr>
                <w:sz w:val="20"/>
                <w:szCs w:val="20"/>
                <w:color w:val="auto"/>
              </w:rPr>
            </w:pPr>
            <w:r>
              <w:rPr>
                <w:rFonts w:ascii="Arial" w:cs="Arial" w:eastAsia="Arial" w:hAnsi="Arial"/>
                <w:sz w:val="14"/>
                <w:szCs w:val="14"/>
                <w:color w:val="auto"/>
              </w:rPr>
              <w:t>Diluted FFO attributable to Boston Properties, Inc. (3)</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1,183,816</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1,026,213</w:t>
            </w:r>
          </w:p>
        </w:tc>
        <w:tc>
          <w:tcPr>
            <w:tcW w:w="5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978,245</w:t>
            </w: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8" w:lineRule="exact"/>
        <w:rPr>
          <w:sz w:val="20"/>
          <w:szCs w:val="20"/>
          <w:color w:val="auto"/>
        </w:rPr>
      </w:pPr>
    </w:p>
    <w:p>
      <w:pPr>
        <w:ind w:left="500" w:right="120" w:hanging="292"/>
        <w:spacing w:after="0" w:line="256" w:lineRule="auto"/>
        <w:tabs>
          <w:tab w:leader="none" w:pos="496"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impairment loss on investment in unconsolidated joint venture consists of an other-than-temporary decline in the fair value below the carrying value of our investment in the Dock 72 unconsolidated joint venture for the years ended December 31, 2022 and December 31, 2020.</w:t>
      </w:r>
    </w:p>
    <w:p>
      <w:pPr>
        <w:ind w:left="500" w:right="60" w:hanging="292"/>
        <w:spacing w:after="0" w:line="253" w:lineRule="auto"/>
        <w:tabs>
          <w:tab w:leader="none" w:pos="496"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the portion of income from unconsolidated joint ventures related to the gain on sale of real estate associated with the sale of our ownership interest in the joint venture that owned Annapolis Junction Buildings Six and Seven for the year ended December 31, 2021 and Annapolis Junction Building Eight and two land parcels for the year ended December 31, 2020.</w:t>
      </w:r>
    </w:p>
    <w:p>
      <w:pPr>
        <w:ind w:left="480" w:hanging="2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BXP’s share of diluted Funds from Operations was 89.91%, 90.18% and 90.04% for the years ended December 31, 2022, 2021 and 2020,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184"/>
        </w:trPr>
        <w:tc>
          <w:tcPr>
            <w:tcW w:w="6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181"/>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6"/>
          </w:tcPr>
          <w:p>
            <w:pPr>
              <w:jc w:val="center"/>
              <w:ind w:left="889"/>
              <w:spacing w:after="0"/>
              <w:rPr>
                <w:sz w:val="20"/>
                <w:szCs w:val="20"/>
                <w:color w:val="auto"/>
              </w:rPr>
            </w:pPr>
            <w:r>
              <w:rPr>
                <w:rFonts w:ascii="Arial" w:cs="Arial" w:eastAsia="Arial" w:hAnsi="Arial"/>
                <w:sz w:val="14"/>
                <w:szCs w:val="14"/>
                <w:b w:val="1"/>
                <w:bCs w:val="1"/>
                <w:color w:val="auto"/>
              </w:rPr>
              <w:t>shares/units (in thousands)</w:t>
            </w:r>
          </w:p>
        </w:tc>
        <w:tc>
          <w:tcPr>
            <w:tcW w:w="1080" w:type="dxa"/>
            <w:vAlign w:val="bottom"/>
          </w:tcPr>
          <w:p>
            <w:pPr>
              <w:spacing w:after="0"/>
              <w:rPr>
                <w:sz w:val="15"/>
                <w:szCs w:val="15"/>
                <w:color w:val="auto"/>
              </w:rPr>
            </w:pPr>
          </w:p>
        </w:tc>
      </w:tr>
      <w:tr>
        <w:trPr>
          <w:trHeight w:val="190"/>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Funds from Operations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174,360</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173,150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172,643</w:t>
            </w:r>
          </w:p>
        </w:tc>
      </w:tr>
      <w:tr>
        <w:trPr>
          <w:trHeight w:val="187"/>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1"/>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Diluted Funds from Operations</w:t>
            </w:r>
          </w:p>
        </w:tc>
        <w:tc>
          <w:tcPr>
            <w:tcW w:w="1240" w:type="dxa"/>
            <w:vAlign w:val="bottom"/>
          </w:tcPr>
          <w:p>
            <w:pPr>
              <w:jc w:val="right"/>
              <w:spacing w:after="0"/>
              <w:rPr>
                <w:sz w:val="20"/>
                <w:szCs w:val="20"/>
                <w:color w:val="auto"/>
              </w:rPr>
            </w:pPr>
            <w:r>
              <w:rPr>
                <w:rFonts w:ascii="Arial" w:cs="Arial" w:eastAsia="Arial" w:hAnsi="Arial"/>
                <w:sz w:val="14"/>
                <w:szCs w:val="14"/>
                <w:color w:val="auto"/>
              </w:rPr>
              <w:t>174,771</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173,410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172,728</w:t>
            </w:r>
          </w:p>
        </w:tc>
      </w:tr>
      <w:tr>
        <w:trPr>
          <w:trHeight w:val="19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56"/>
        </w:trPr>
        <w:tc>
          <w:tcPr>
            <w:tcW w:w="6920" w:type="dxa"/>
            <w:vAlign w:val="bottom"/>
            <w:gridSpan w:val="2"/>
          </w:tcPr>
          <w:p>
            <w:pPr>
              <w:ind w:left="300"/>
              <w:spacing w:after="0" w:line="156" w:lineRule="exact"/>
              <w:rPr>
                <w:sz w:val="20"/>
                <w:szCs w:val="20"/>
                <w:color w:val="auto"/>
              </w:rPr>
            </w:pPr>
            <w:r>
              <w:rPr>
                <w:rFonts w:ascii="Arial" w:cs="Arial" w:eastAsia="Arial" w:hAnsi="Arial"/>
                <w:sz w:val="14"/>
                <w:szCs w:val="14"/>
                <w:color w:val="auto"/>
              </w:rPr>
              <w:t>Noncontrolling interest—common units of the Operating Partnership’s share of diluted Funds from</w:t>
            </w: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3"/>
        </w:trPr>
        <w:tc>
          <w:tcPr>
            <w:tcW w:w="6920" w:type="dxa"/>
            <w:vAlign w:val="bottom"/>
            <w:tcBorders>
              <w:bottom w:val="single" w:sz="8" w:color="CCEEFF"/>
            </w:tcBorders>
            <w:gridSpan w:val="2"/>
          </w:tcPr>
          <w:p>
            <w:pPr>
              <w:ind w:left="440"/>
              <w:spacing w:after="0"/>
              <w:rPr>
                <w:sz w:val="20"/>
                <w:szCs w:val="20"/>
                <w:color w:val="auto"/>
              </w:rPr>
            </w:pPr>
            <w:r>
              <w:rPr>
                <w:rFonts w:ascii="Arial" w:cs="Arial" w:eastAsia="Arial" w:hAnsi="Arial"/>
                <w:sz w:val="14"/>
                <w:szCs w:val="14"/>
                <w:color w:val="auto"/>
              </w:rPr>
              <w:t>Operations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17,034</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17,211</w:t>
            </w:r>
          </w:p>
        </w:tc>
      </w:tr>
      <w:tr>
        <w:trPr>
          <w:trHeight w:val="20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Funds from Operations attributable to Boston Properties, Inc. (1)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157,137</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156,376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155,517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BXP’s share of diluted Funds from Operations was 89.91%, 90.18% and 90.04% for the years ended December 31, 2022, 2021 and 2020,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a reconciliation of net income attributable to Boston Properties Limited Partnership common unitholders to FFO attributable to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Boston Properties Limited Partnership common unitholders for the years ended December 31, 2022, 2021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169"/>
              <w:spacing w:after="0"/>
              <w:rPr>
                <w:sz w:val="20"/>
                <w:szCs w:val="20"/>
                <w:color w:val="auto"/>
              </w:rPr>
            </w:pPr>
            <w:r>
              <w:rPr>
                <w:rFonts w:ascii="Arial" w:cs="Arial" w:eastAsia="Arial" w:hAnsi="Arial"/>
                <w:sz w:val="14"/>
                <w:szCs w:val="14"/>
                <w:b w:val="1"/>
                <w:bCs w:val="1"/>
                <w:color w:val="auto"/>
                <w:w w:val="99"/>
              </w:rPr>
              <w:t>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Limited Partnership common unitholders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957,265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561,993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979,979</w:t>
            </w:r>
          </w:p>
        </w:tc>
        <w:tc>
          <w:tcPr>
            <w:tcW w:w="0" w:type="dxa"/>
            <w:vAlign w:val="bottom"/>
          </w:tcPr>
          <w:p>
            <w:pPr>
              <w:spacing w:after="0"/>
              <w:rPr>
                <w:sz w:val="1"/>
                <w:szCs w:val="1"/>
                <w:color w:val="auto"/>
              </w:rPr>
            </w:pPr>
          </w:p>
        </w:tc>
      </w:tr>
      <w:tr>
        <w:trPr>
          <w:trHeight w:val="187"/>
        </w:trPr>
        <w:tc>
          <w:tcPr>
            <w:tcW w:w="692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unit redemption charge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Preferred distributions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74,857</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48,260</w:t>
            </w:r>
          </w:p>
        </w:tc>
        <w:tc>
          <w:tcPr>
            <w:tcW w:w="0" w:type="dxa"/>
            <w:vAlign w:val="bottom"/>
          </w:tcPr>
          <w:p>
            <w:pPr>
              <w:spacing w:after="0"/>
              <w:rPr>
                <w:sz w:val="1"/>
                <w:szCs w:val="1"/>
                <w:color w:val="auto"/>
              </w:rPr>
            </w:pPr>
          </w:p>
        </w:tc>
      </w:tr>
      <w:tr>
        <w:trPr>
          <w:trHeight w:val="179"/>
        </w:trPr>
        <w:tc>
          <w:tcPr>
            <w:tcW w:w="6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1,032,122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641,771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1,038,739</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742,293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709,035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676,666</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(71,850)</w:t>
            </w: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89,275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71,966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80,925</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Impairment loss on investment in unconsolidated joint venture (1)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50,705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60,524</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 on sale of investment included within (loss) income from unconsolidated joint ventures (2)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10,257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5,958</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441,075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631,945</w:t>
            </w: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 on sales-type lease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74,857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70,806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48,260</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distributions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87"/>
        </w:trPr>
        <w:tc>
          <w:tcPr>
            <w:tcW w:w="69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Preferred unit redemption charge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from Operations attributable to Boston Properties Limited Partnership (3)</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1,316,668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1,137,961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1,086,501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 outstanding—basic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2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174,360</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173,150</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172,643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00" w:right="120" w:hanging="292"/>
        <w:spacing w:after="0" w:line="256" w:lineRule="auto"/>
        <w:tabs>
          <w:tab w:leader="none" w:pos="496"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impairment loss on investment in unconsolidated joint venture consists of an other-than-temporary decline in the fair value below the carrying value of our investment in the Dock 72 unconsolidated joint venture for the years ended December 31, 2022 and December 31, 2020.</w:t>
      </w:r>
    </w:p>
    <w:p>
      <w:pPr>
        <w:ind w:left="500" w:right="60" w:hanging="292"/>
        <w:spacing w:after="0" w:line="253" w:lineRule="auto"/>
        <w:tabs>
          <w:tab w:leader="none" w:pos="496"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the portion of income from unconsolidated joint ventures related to the gain on sale of real estate associated with the sale of our ownership interest in the joint venture that owned Annapolis Junction Buildings Six and Seven for the year ended December 31, 2021 and Annapolis Junction Building Eight and two land parcels for the year ended December 31, 2020.</w:t>
      </w:r>
    </w:p>
    <w:p>
      <w:pPr>
        <w:ind w:left="480" w:hanging="272"/>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calculation includes OP Units and vested LTIP Units (including vested 2012 OPP Units and vested 2013 - 2019 MYLTIP Units).</w:t>
      </w:r>
    </w:p>
    <w:p>
      <w:pPr>
        <w:spacing w:after="0" w:line="228" w:lineRule="exact"/>
        <w:rPr>
          <w:sz w:val="20"/>
          <w:szCs w:val="20"/>
          <w:color w:val="auto"/>
        </w:rPr>
      </w:pPr>
    </w:p>
    <w:p>
      <w:pPr>
        <w:ind w:right="140" w:firstLine="391"/>
        <w:spacing w:after="0" w:line="250" w:lineRule="auto"/>
        <w:rPr>
          <w:sz w:val="20"/>
          <w:szCs w:val="20"/>
          <w:color w:val="auto"/>
        </w:rPr>
      </w:pPr>
      <w:r>
        <w:rPr>
          <w:rFonts w:ascii="Arial" w:cs="Arial" w:eastAsia="Arial" w:hAnsi="Arial"/>
          <w:sz w:val="16"/>
          <w:szCs w:val="16"/>
          <w:color w:val="auto"/>
        </w:rPr>
        <w:t>The following tables presents a reconciliation of net income attributable to Boston Properties Limited Partnership common unitholders to Diluted FFO attributable to Boston Properties Limited Partnership for income (numerator) and shares/units (denominator) for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169"/>
              <w:spacing w:after="0"/>
              <w:rPr>
                <w:sz w:val="20"/>
                <w:szCs w:val="20"/>
                <w:color w:val="auto"/>
              </w:rPr>
            </w:pPr>
            <w:r>
              <w:rPr>
                <w:rFonts w:ascii="Arial" w:cs="Arial" w:eastAsia="Arial" w:hAnsi="Arial"/>
                <w:sz w:val="14"/>
                <w:szCs w:val="14"/>
                <w:b w:val="1"/>
                <w:bCs w:val="1"/>
                <w:color w:val="auto"/>
                <w:w w:val="99"/>
              </w:rPr>
              <w:t>Year ended December 31,</w:t>
            </w:r>
          </w:p>
        </w:tc>
        <w:tc>
          <w:tcPr>
            <w:tcW w:w="1080" w:type="dxa"/>
            <w:vAlign w:val="bottom"/>
            <w:tcBorders>
              <w:bottom w:val="single" w:sz="8" w:color="auto"/>
            </w:tcBorders>
          </w:tcPr>
          <w:p>
            <w:pPr>
              <w:spacing w:after="0"/>
              <w:rPr>
                <w:sz w:val="16"/>
                <w:szCs w:val="16"/>
                <w:color w:val="auto"/>
              </w:rPr>
            </w:pPr>
          </w:p>
        </w:tc>
      </w:tr>
      <w:tr>
        <w:trPr>
          <w:trHeight w:val="184"/>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r>
      <w:tr>
        <w:trPr>
          <w:trHeight w:val="181"/>
        </w:trPr>
        <w:tc>
          <w:tcPr>
            <w:tcW w:w="6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Boston Properties Limited Partnership common unitholders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957,265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561,993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979,979</w:t>
            </w:r>
          </w:p>
        </w:tc>
      </w:tr>
      <w:tr>
        <w:trPr>
          <w:trHeight w:val="187"/>
        </w:trPr>
        <w:tc>
          <w:tcPr>
            <w:tcW w:w="692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unit redemption charge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Preferred distributions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10,500</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74,857</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48,260</w:t>
            </w:r>
          </w:p>
        </w:tc>
      </w:tr>
      <w:tr>
        <w:trPr>
          <w:trHeight w:val="179"/>
        </w:trPr>
        <w:tc>
          <w:tcPr>
            <w:tcW w:w="6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1,032,122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641,771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1,038,739</w:t>
            </w: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742,293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709,035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676,666</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(71,850)</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89,275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71,966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80,925</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Impairment loss on investment in unconsolidated joint venture (1)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50,705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60,524</w:t>
            </w: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 on sale of investment included within (loss) income from unconsolidated joint ventures (2)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10,257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5,958</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441,075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631,945</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 on sales-type lease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74,857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70,806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48,260</w:t>
            </w:r>
          </w:p>
        </w:tc>
      </w:tr>
      <w:tr>
        <w:trPr>
          <w:trHeight w:val="192"/>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distributions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w:t>
            </w:r>
          </w:p>
        </w:tc>
      </w:tr>
      <w:tr>
        <w:trPr>
          <w:trHeight w:val="187"/>
        </w:trPr>
        <w:tc>
          <w:tcPr>
            <w:tcW w:w="69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Preferred unit redemption charge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from Operations attributable to Boston Properties Limited Partnership (3)</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1,316,668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1,137,961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1,086,501</w:t>
            </w:r>
          </w:p>
        </w:tc>
      </w:tr>
      <w:tr>
        <w:trPr>
          <w:trHeight w:val="187"/>
        </w:trPr>
        <w:tc>
          <w:tcPr>
            <w:tcW w:w="6920" w:type="dxa"/>
            <w:vAlign w:val="bottom"/>
          </w:tcPr>
          <w:p>
            <w:pPr>
              <w:ind w:left="20"/>
              <w:spacing w:after="0"/>
              <w:rPr>
                <w:sz w:val="20"/>
                <w:szCs w:val="20"/>
                <w:color w:val="auto"/>
              </w:rPr>
            </w:pPr>
            <w:r>
              <w:rPr>
                <w:rFonts w:ascii="Arial" w:cs="Arial" w:eastAsia="Arial" w:hAnsi="Arial"/>
                <w:sz w:val="14"/>
                <w:szCs w:val="14"/>
                <w:color w:val="auto"/>
              </w:rPr>
              <w:t>Effect of Dilutive Securities: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6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920" w:type="dxa"/>
            <w:vAlign w:val="bottom"/>
          </w:tcPr>
          <w:p>
            <w:pPr>
              <w:ind w:left="20"/>
              <w:spacing w:after="0"/>
              <w:rPr>
                <w:sz w:val="20"/>
                <w:szCs w:val="20"/>
                <w:color w:val="auto"/>
              </w:rPr>
            </w:pPr>
            <w:r>
              <w:rPr>
                <w:rFonts w:ascii="Arial" w:cs="Arial" w:eastAsia="Arial" w:hAnsi="Arial"/>
                <w:sz w:val="14"/>
                <w:szCs w:val="14"/>
                <w:color w:val="auto"/>
              </w:rPr>
              <w:t>Diluted Funds from Operations attributed to Boston Properties Limited Partnership</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1,316,668</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1,137,961</w:t>
            </w:r>
          </w:p>
        </w:tc>
        <w:tc>
          <w:tcPr>
            <w:tcW w:w="16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1,086,501</w:t>
            </w:r>
          </w:p>
        </w:tc>
      </w:tr>
      <w:tr>
        <w:trPr>
          <w:trHeight w:val="20"/>
        </w:trPr>
        <w:tc>
          <w:tcPr>
            <w:tcW w:w="6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00" w:right="120" w:hanging="292"/>
        <w:spacing w:after="0" w:line="261" w:lineRule="auto"/>
        <w:tabs>
          <w:tab w:leader="none" w:pos="496"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impairment loss on investment in unconsolidated joint venture consists of an other-than-temporary decline in the fair value below the carrying value of our investment in the Dock 72 unconsolidated joint venture for the years ended December 31, 2022 and December 31, 2020.</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500" w:right="60" w:hanging="292"/>
        <w:spacing w:after="0" w:line="253"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the portion of income from unconsolidated joint ventures related to the gain on sale of real estate associated with the sale of our ownership interest in the joint venture that owned Annapolis Junction Buildings Six and Seven for the year ended December 31, 2021 and Annapolis Junction Building Eight and two land parcels for the year ended December 31, 2020.</w:t>
      </w:r>
    </w:p>
    <w:p>
      <w:pPr>
        <w:ind w:left="480" w:hanging="2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Our calculation includes OP Units and vested LTIP Units (including vested 2012 OPP Units and vested 2013 - 2019 MYLTIP Units).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184"/>
        </w:trPr>
        <w:tc>
          <w:tcPr>
            <w:tcW w:w="6820" w:type="dxa"/>
            <w:vAlign w:val="bottom"/>
          </w:tcPr>
          <w:p>
            <w:pPr>
              <w:spacing w:after="0"/>
              <w:rPr>
                <w:sz w:val="15"/>
                <w:szCs w:val="15"/>
                <w:color w:val="auto"/>
              </w:rPr>
            </w:pP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54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181"/>
        </w:trPr>
        <w:tc>
          <w:tcPr>
            <w:tcW w:w="6820" w:type="dxa"/>
            <w:vAlign w:val="bottom"/>
          </w:tcPr>
          <w:p>
            <w:pPr>
              <w:spacing w:after="0"/>
              <w:rPr>
                <w:sz w:val="15"/>
                <w:szCs w:val="15"/>
                <w:color w:val="auto"/>
              </w:rPr>
            </w:pPr>
          </w:p>
        </w:tc>
        <w:tc>
          <w:tcPr>
            <w:tcW w:w="3300" w:type="dxa"/>
            <w:vAlign w:val="bottom"/>
            <w:gridSpan w:val="6"/>
          </w:tcPr>
          <w:p>
            <w:pPr>
              <w:jc w:val="center"/>
              <w:ind w:left="969"/>
              <w:spacing w:after="0"/>
              <w:rPr>
                <w:sz w:val="20"/>
                <w:szCs w:val="20"/>
                <w:color w:val="auto"/>
              </w:rPr>
            </w:pPr>
            <w:r>
              <w:rPr>
                <w:rFonts w:ascii="Arial" w:cs="Arial" w:eastAsia="Arial" w:hAnsi="Arial"/>
                <w:sz w:val="14"/>
                <w:szCs w:val="14"/>
                <w:b w:val="1"/>
                <w:bCs w:val="1"/>
                <w:color w:val="auto"/>
              </w:rPr>
              <w:t>shares/units (in thousands)</w:t>
            </w:r>
          </w:p>
        </w:tc>
        <w:tc>
          <w:tcPr>
            <w:tcW w:w="1060" w:type="dxa"/>
            <w:vAlign w:val="bottom"/>
          </w:tcPr>
          <w:p>
            <w:pPr>
              <w:spacing w:after="0"/>
              <w:rPr>
                <w:sz w:val="15"/>
                <w:szCs w:val="15"/>
                <w:color w:val="auto"/>
              </w:rPr>
            </w:pPr>
          </w:p>
        </w:tc>
      </w:tr>
      <w:tr>
        <w:trPr>
          <w:trHeight w:val="19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Funds from Operations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174,360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173,150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172,643</w:t>
            </w:r>
          </w:p>
        </w:tc>
      </w:tr>
      <w:tr>
        <w:trPr>
          <w:trHeight w:val="187"/>
        </w:trPr>
        <w:tc>
          <w:tcPr>
            <w:tcW w:w="6820" w:type="dxa"/>
            <w:vAlign w:val="bottom"/>
          </w:tcPr>
          <w:p>
            <w:pPr>
              <w:ind w:left="20"/>
              <w:spacing w:after="0"/>
              <w:rPr>
                <w:sz w:val="20"/>
                <w:szCs w:val="20"/>
                <w:color w:val="auto"/>
              </w:rPr>
            </w:pPr>
            <w:r>
              <w:rPr>
                <w:rFonts w:ascii="Arial" w:cs="Arial" w:eastAsia="Arial" w:hAnsi="Arial"/>
                <w:sz w:val="14"/>
                <w:szCs w:val="14"/>
                <w:color w:val="auto"/>
              </w:rPr>
              <w:t>Effect of Dilutive Securities:</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r>
      <w:tr>
        <w:trPr>
          <w:trHeight w:val="184"/>
        </w:trPr>
        <w:tc>
          <w:tcPr>
            <w:tcW w:w="6820" w:type="dxa"/>
            <w:vAlign w:val="bottom"/>
          </w:tcPr>
          <w:p>
            <w:pPr>
              <w:ind w:left="20"/>
              <w:spacing w:after="0"/>
              <w:rPr>
                <w:sz w:val="20"/>
                <w:szCs w:val="20"/>
                <w:color w:val="auto"/>
              </w:rPr>
            </w:pPr>
            <w:r>
              <w:rPr>
                <w:rFonts w:ascii="Arial" w:cs="Arial" w:eastAsia="Arial" w:hAnsi="Arial"/>
                <w:sz w:val="14"/>
                <w:szCs w:val="14"/>
                <w:color w:val="auto"/>
              </w:rPr>
              <w:t>Diluted Funds from Operations</w:t>
            </w:r>
          </w:p>
        </w:tc>
        <w:tc>
          <w:tcPr>
            <w:tcW w:w="1280" w:type="dxa"/>
            <w:vAlign w:val="bottom"/>
          </w:tcPr>
          <w:p>
            <w:pPr>
              <w:jc w:val="right"/>
              <w:spacing w:after="0"/>
              <w:rPr>
                <w:sz w:val="20"/>
                <w:szCs w:val="20"/>
                <w:color w:val="auto"/>
              </w:rPr>
            </w:pPr>
            <w:r>
              <w:rPr>
                <w:rFonts w:ascii="Arial" w:cs="Arial" w:eastAsia="Arial" w:hAnsi="Arial"/>
                <w:sz w:val="14"/>
                <w:szCs w:val="14"/>
                <w:color w:val="auto"/>
              </w:rPr>
              <w:t>174,771</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173,410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172,728</w:t>
            </w:r>
          </w:p>
        </w:tc>
      </w:tr>
      <w:tr>
        <w:trPr>
          <w:trHeight w:val="20"/>
        </w:trPr>
        <w:tc>
          <w:tcPr>
            <w:tcW w:w="6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Material Cash Commitments</w:t>
      </w:r>
    </w:p>
    <w:p>
      <w:pPr>
        <w:spacing w:after="0" w:line="95"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As of December 31, 2022, we were subject to contractual payment obligations, excluding our unconsolidated joint ventures commitments. For details about our unconsolidated joint venture contractual payment obligations see “</w:t>
      </w:r>
      <w:r>
        <w:rPr>
          <w:rFonts w:ascii="Arial" w:cs="Arial" w:eastAsia="Arial" w:hAnsi="Arial"/>
          <w:sz w:val="16"/>
          <w:szCs w:val="16"/>
          <w:i w:val="1"/>
          <w:iCs w:val="1"/>
          <w:color w:val="auto"/>
        </w:rPr>
        <w:t>Investments in Unconsolidated Joint Ventures - Contractual Obligations”</w:t>
      </w:r>
      <w:r>
        <w:rPr>
          <w:rFonts w:ascii="Arial" w:cs="Arial" w:eastAsia="Arial" w:hAnsi="Arial"/>
          <w:sz w:val="16"/>
          <w:szCs w:val="16"/>
          <w:color w:val="auto"/>
        </w:rPr>
        <w:t xml:space="preserve"> below. Our primary contractual payment obligations, that are not disclosed in other sections of this Annual Report on Form 10-K, are client and development related and described in further detail below. For details about our other contractual payment obligations related to operating and finance leases, mortgage debt, unsecured senior notes, unsecured line of credit and unsecured term loans see Notes 4, 7 and 16 to the Consolidated Financial Statements, respectively.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109"/>
              <w:spacing w:after="0"/>
              <w:rPr>
                <w:sz w:val="20"/>
                <w:szCs w:val="20"/>
                <w:color w:val="auto"/>
              </w:rPr>
            </w:pPr>
            <w:r>
              <w:rPr>
                <w:rFonts w:ascii="Arial" w:cs="Arial" w:eastAsia="Arial" w:hAnsi="Arial"/>
                <w:sz w:val="13"/>
                <w:szCs w:val="13"/>
                <w:b w:val="1"/>
                <w:bCs w:val="1"/>
                <w:color w:val="auto"/>
                <w:w w:val="97"/>
              </w:rPr>
              <w:t>Payments Due by Period</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0"/>
        </w:trPr>
        <w:tc>
          <w:tcPr>
            <w:tcW w:w="3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1"/>
              <w:spacing w:after="0"/>
              <w:rPr>
                <w:sz w:val="20"/>
                <w:szCs w:val="20"/>
                <w:color w:val="auto"/>
              </w:rPr>
            </w:pPr>
            <w:r>
              <w:rPr>
                <w:rFonts w:ascii="Arial" w:cs="Arial" w:eastAsia="Arial" w:hAnsi="Arial"/>
                <w:sz w:val="13"/>
                <w:szCs w:val="13"/>
                <w:b w:val="1"/>
                <w:bCs w:val="1"/>
                <w:color w:val="auto"/>
                <w:w w:val="96"/>
              </w:rPr>
              <w:t>2025</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2026</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Thereafter</w:t>
            </w:r>
          </w:p>
        </w:tc>
      </w:tr>
      <w:tr>
        <w:trPr>
          <w:trHeight w:val="170"/>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(in thousands)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4"/>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3020" w:type="dxa"/>
            <w:vAlign w:val="bottom"/>
          </w:tcPr>
          <w:p>
            <w:pPr>
              <w:ind w:left="100"/>
              <w:spacing w:after="0"/>
              <w:rPr>
                <w:sz w:val="20"/>
                <w:szCs w:val="20"/>
                <w:color w:val="auto"/>
              </w:rPr>
            </w:pPr>
            <w:r>
              <w:rPr>
                <w:rFonts w:ascii="Arial" w:cs="Arial" w:eastAsia="Arial" w:hAnsi="Arial"/>
                <w:sz w:val="14"/>
                <w:szCs w:val="14"/>
                <w:color w:val="auto"/>
              </w:rPr>
              <w:t>Client obligations (1)</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529,173</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473,437</w:t>
            </w:r>
          </w:p>
        </w:tc>
        <w:tc>
          <w:tcPr>
            <w:tcW w:w="1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44,187</w:t>
            </w:r>
          </w:p>
        </w:tc>
        <w:tc>
          <w:tcPr>
            <w:tcW w:w="4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246</w:t>
            </w:r>
          </w:p>
        </w:tc>
        <w:tc>
          <w:tcPr>
            <w:tcW w:w="1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10,790</w:t>
            </w:r>
          </w:p>
        </w:tc>
        <w:tc>
          <w:tcPr>
            <w:tcW w:w="16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513</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r>
      <w:tr>
        <w:trPr>
          <w:trHeight w:val="158"/>
        </w:trPr>
        <w:tc>
          <w:tcPr>
            <w:tcW w:w="30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Construction contracts on development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462,803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394,499</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66,844</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r>
      <w:tr>
        <w:trPr>
          <w:trHeight w:val="179"/>
        </w:trPr>
        <w:tc>
          <w:tcPr>
            <w:tcW w:w="3020" w:type="dxa"/>
            <w:vAlign w:val="bottom"/>
          </w:tcPr>
          <w:p>
            <w:pPr>
              <w:ind w:left="100"/>
              <w:spacing w:after="0"/>
              <w:rPr>
                <w:sz w:val="20"/>
                <w:szCs w:val="20"/>
                <w:color w:val="auto"/>
              </w:rPr>
            </w:pPr>
            <w:r>
              <w:rPr>
                <w:rFonts w:ascii="Arial" w:cs="Arial" w:eastAsia="Arial" w:hAnsi="Arial"/>
                <w:sz w:val="14"/>
                <w:szCs w:val="14"/>
                <w:color w:val="auto"/>
              </w:rPr>
              <w:t>Total Commitments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991,976</w:t>
            </w:r>
          </w:p>
        </w:tc>
        <w:tc>
          <w:tcPr>
            <w:tcW w:w="14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867,936</w:t>
            </w:r>
          </w:p>
        </w:tc>
        <w:tc>
          <w:tcPr>
            <w:tcW w:w="16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111,031</w:t>
            </w:r>
          </w:p>
        </w:tc>
        <w:tc>
          <w:tcPr>
            <w:tcW w:w="4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1,706</w:t>
            </w:r>
          </w:p>
        </w:tc>
        <w:tc>
          <w:tcPr>
            <w:tcW w:w="16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10,790</w:t>
            </w:r>
          </w:p>
        </w:tc>
        <w:tc>
          <w:tcPr>
            <w:tcW w:w="1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513</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500" w:right="120" w:hanging="292"/>
        <w:spacing w:after="0" w:line="261" w:lineRule="auto"/>
        <w:tabs>
          <w:tab w:leader="none" w:pos="496"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Committed client-related obligations (tenant improvements and lease commissions) based on executed leases as of December 31, 2022. The timing and amount of these payments is subject to change.</w:t>
      </w:r>
    </w:p>
    <w:p>
      <w:pPr>
        <w:spacing w:after="0" w:line="204" w:lineRule="exact"/>
        <w:rPr>
          <w:sz w:val="20"/>
          <w:szCs w:val="20"/>
          <w:color w:val="auto"/>
        </w:rPr>
      </w:pPr>
    </w:p>
    <w:p>
      <w:pPr>
        <w:ind w:right="240" w:firstLine="569"/>
        <w:spacing w:after="0" w:line="253" w:lineRule="auto"/>
        <w:rPr>
          <w:sz w:val="20"/>
          <w:szCs w:val="20"/>
          <w:color w:val="auto"/>
        </w:rPr>
      </w:pPr>
      <w:r>
        <w:rPr>
          <w:rFonts w:ascii="Arial" w:cs="Arial" w:eastAsia="Arial" w:hAnsi="Arial"/>
          <w:sz w:val="16"/>
          <w:szCs w:val="16"/>
          <w:color w:val="auto"/>
        </w:rPr>
        <w:t>We invest in a non-real estate fund, which is primarily an environmentally focused investment fund, with an aggregate commitment to contribute $10.0 million. As of December 31, 2022, we have contributed $2.4 million, which includes required fees, with $7.8 million remaining to be contributed.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Investment in Unconsolidated Joint Ventures - Contractual Obligations</w:t>
      </w:r>
    </w:p>
    <w:p>
      <w:pPr>
        <w:spacing w:after="0" w:line="95" w:lineRule="exact"/>
        <w:rPr>
          <w:sz w:val="20"/>
          <w:szCs w:val="20"/>
          <w:color w:val="auto"/>
        </w:rPr>
      </w:pPr>
    </w:p>
    <w:p>
      <w:pPr>
        <w:ind w:right="80" w:firstLine="391"/>
        <w:spacing w:after="0" w:line="249" w:lineRule="auto"/>
        <w:rPr>
          <w:sz w:val="20"/>
          <w:szCs w:val="20"/>
          <w:color w:val="auto"/>
        </w:rPr>
      </w:pPr>
      <w:r>
        <w:rPr>
          <w:rFonts w:ascii="Arial" w:cs="Arial" w:eastAsia="Arial" w:hAnsi="Arial"/>
          <w:sz w:val="16"/>
          <w:szCs w:val="16"/>
          <w:color w:val="auto"/>
        </w:rPr>
        <w:t>As of December 31, 2022, the unconsolidated joint ventures that we have an ownership interest in were subject to contractual payment obligations as described in the table below. The table represents our share of the contractual obligations. For details about our unconsolidated joint ventures secured debt see “</w:t>
      </w:r>
      <w:r>
        <w:rPr>
          <w:rFonts w:ascii="Arial" w:cs="Arial" w:eastAsia="Arial" w:hAnsi="Arial"/>
          <w:sz w:val="16"/>
          <w:szCs w:val="16"/>
          <w:i w:val="1"/>
          <w:iCs w:val="1"/>
          <w:color w:val="auto"/>
        </w:rPr>
        <w:t>Investment In Unconsolidated Joint Ventures - Secured Deb</w:t>
      </w:r>
      <w:r>
        <w:rPr>
          <w:rFonts w:ascii="Arial" w:cs="Arial" w:eastAsia="Arial" w:hAnsi="Arial"/>
          <w:sz w:val="16"/>
          <w:szCs w:val="16"/>
          <w:color w:val="auto"/>
        </w:rPr>
        <w:t>t</w:t>
      </w:r>
      <w:r>
        <w:rPr>
          <w:rFonts w:ascii="Arial" w:cs="Arial" w:eastAsia="Arial" w:hAnsi="Arial"/>
          <w:sz w:val="16"/>
          <w:szCs w:val="16"/>
          <w:i w:val="1"/>
          <w:iCs w:val="1"/>
          <w:color w:val="auto"/>
        </w:rPr>
        <w:t>”</w:t>
      </w:r>
      <w:r>
        <w:rPr>
          <w:rFonts w:ascii="Arial" w:cs="Arial" w:eastAsia="Arial" w:hAnsi="Arial"/>
          <w:sz w:val="16"/>
          <w:szCs w:val="16"/>
          <w:color w:val="auto"/>
        </w:rPr>
        <w:t xml:space="preserve"> referred to in “</w:t>
      </w:r>
      <w:r>
        <w:rPr>
          <w:rFonts w:ascii="Arial" w:cs="Arial" w:eastAsia="Arial" w:hAnsi="Arial"/>
          <w:sz w:val="16"/>
          <w:szCs w:val="16"/>
          <w:i w:val="1"/>
          <w:iCs w:val="1"/>
          <w:color w:val="auto"/>
        </w:rPr>
        <w:t>Item 7—Management’s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of Operations—Liquidity and Capital Resources.”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109"/>
              <w:spacing w:after="0"/>
              <w:rPr>
                <w:sz w:val="20"/>
                <w:szCs w:val="20"/>
                <w:color w:val="auto"/>
              </w:rPr>
            </w:pPr>
            <w:r>
              <w:rPr>
                <w:rFonts w:ascii="Arial" w:cs="Arial" w:eastAsia="Arial" w:hAnsi="Arial"/>
                <w:sz w:val="13"/>
                <w:szCs w:val="13"/>
                <w:b w:val="1"/>
                <w:bCs w:val="1"/>
                <w:color w:val="auto"/>
                <w:w w:val="97"/>
              </w:rPr>
              <w:t>Payments Due by Period</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0"/>
        </w:trPr>
        <w:tc>
          <w:tcPr>
            <w:tcW w:w="3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2025</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2026</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Thereafter</w:t>
            </w:r>
          </w:p>
        </w:tc>
      </w:tr>
      <w:tr>
        <w:trPr>
          <w:trHeight w:val="170"/>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(in thousands)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4"/>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Obligations: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Operating leases (1)</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96,559</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861</w:t>
            </w:r>
          </w:p>
        </w:tc>
        <w:tc>
          <w:tcPr>
            <w:tcW w:w="1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873</w:t>
            </w:r>
          </w:p>
        </w:tc>
        <w:tc>
          <w:tcPr>
            <w:tcW w:w="4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908</w:t>
            </w:r>
          </w:p>
        </w:tc>
        <w:tc>
          <w:tcPr>
            <w:tcW w:w="1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944</w:t>
            </w:r>
          </w:p>
        </w:tc>
        <w:tc>
          <w:tcPr>
            <w:tcW w:w="16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957</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92,016</w:t>
            </w: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(2)</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250,476</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10,894</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195,662</w:t>
            </w:r>
          </w:p>
        </w:tc>
      </w:tr>
      <w:tr>
        <w:trPr>
          <w:trHeight w:val="17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347,035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11,755</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11,853</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11,888</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11,924</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287,678</w:t>
            </w:r>
          </w:p>
        </w:tc>
      </w:tr>
      <w:tr>
        <w:trPr>
          <w:trHeight w:val="208"/>
        </w:trPr>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Commitments: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 obligations (3)</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41,549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3020" w:type="dxa"/>
            <w:vAlign w:val="bottom"/>
          </w:tcPr>
          <w:p>
            <w:pPr>
              <w:ind w:left="20"/>
              <w:spacing w:after="0" w:line="156" w:lineRule="exact"/>
              <w:rPr>
                <w:sz w:val="20"/>
                <w:szCs w:val="20"/>
                <w:color w:val="auto"/>
              </w:rPr>
            </w:pPr>
            <w:r>
              <w:rPr>
                <w:rFonts w:ascii="Arial" w:cs="Arial" w:eastAsia="Arial" w:hAnsi="Arial"/>
                <w:sz w:val="14"/>
                <w:szCs w:val="14"/>
                <w:color w:val="auto"/>
              </w:rPr>
              <w:t>Construction contracts on development</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3020" w:type="dxa"/>
            <w:vAlign w:val="bottom"/>
          </w:tcPr>
          <w:p>
            <w:pPr>
              <w:ind w:left="160"/>
              <w:spacing w:after="0"/>
              <w:rPr>
                <w:sz w:val="20"/>
                <w:szCs w:val="20"/>
                <w:color w:val="auto"/>
              </w:rPr>
            </w:pPr>
            <w:r>
              <w:rPr>
                <w:rFonts w:ascii="Arial" w:cs="Arial" w:eastAsia="Arial" w:hAnsi="Arial"/>
                <w:sz w:val="14"/>
                <w:szCs w:val="14"/>
                <w:color w:val="auto"/>
              </w:rPr>
              <w:t>projects</w:t>
            </w:r>
          </w:p>
        </w:tc>
        <w:tc>
          <w:tcPr>
            <w:tcW w:w="24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329,899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193,069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89,581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36,005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11,244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Commitments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371,448</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216,786</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103,619</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36,096</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11,676</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3,271</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02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718,483</w:t>
            </w:r>
          </w:p>
        </w:tc>
        <w:tc>
          <w:tcPr>
            <w:tcW w:w="14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228,541</w:t>
            </w:r>
          </w:p>
        </w:tc>
        <w:tc>
          <w:tcPr>
            <w:tcW w:w="16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115,472</w:t>
            </w:r>
          </w:p>
        </w:tc>
        <w:tc>
          <w:tcPr>
            <w:tcW w:w="4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47,984</w:t>
            </w:r>
          </w:p>
        </w:tc>
        <w:tc>
          <w:tcPr>
            <w:tcW w:w="16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23,600</w:t>
            </w:r>
          </w:p>
        </w:tc>
        <w:tc>
          <w:tcPr>
            <w:tcW w:w="1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15,208</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287,678</w:t>
            </w: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80" w:hanging="272"/>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Operating leases include approximately $61.6 million related to renewal options that the joint venture is reasonably certain it will exercise.</w:t>
      </w:r>
    </w:p>
    <w:p>
      <w:pPr>
        <w:spacing w:after="0" w:line="16" w:lineRule="exact"/>
        <w:rPr>
          <w:rFonts w:ascii="Arial" w:cs="Arial" w:eastAsia="Arial" w:hAnsi="Arial"/>
          <w:sz w:val="14"/>
          <w:szCs w:val="14"/>
          <w:color w:val="auto"/>
        </w:rPr>
      </w:pPr>
    </w:p>
    <w:p>
      <w:pPr>
        <w:ind w:left="480" w:hanging="272"/>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Finance leases include approximately $194.7 million related to a purchase option that the joint venture is reasonably certain it will exercise in 2028.</w:t>
      </w:r>
    </w:p>
    <w:p>
      <w:pPr>
        <w:spacing w:after="0" w:line="4" w:lineRule="exact"/>
        <w:rPr>
          <w:rFonts w:ascii="Arial" w:cs="Arial" w:eastAsia="Arial" w:hAnsi="Arial"/>
          <w:sz w:val="14"/>
          <w:szCs w:val="14"/>
          <w:color w:val="auto"/>
        </w:rPr>
      </w:pPr>
    </w:p>
    <w:p>
      <w:pPr>
        <w:ind w:left="500" w:right="120" w:hanging="292"/>
        <w:spacing w:after="0" w:line="261" w:lineRule="auto"/>
        <w:tabs>
          <w:tab w:leader="none" w:pos="496"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Committed client-related obligations (tenant improvements and lease commissions) based on executed leases as of December 31, 2022. The timing and amount of these payments is subject to change.</w:t>
      </w:r>
    </w:p>
    <w:p>
      <w:pPr>
        <w:spacing w:after="0" w:line="216" w:lineRule="exact"/>
        <w:rPr>
          <w:sz w:val="20"/>
          <w:szCs w:val="20"/>
          <w:color w:val="auto"/>
        </w:rPr>
      </w:pPr>
    </w:p>
    <w:p>
      <w:pPr>
        <w:ind w:right="300" w:firstLine="391"/>
        <w:spacing w:after="0" w:line="250" w:lineRule="auto"/>
        <w:rPr>
          <w:sz w:val="20"/>
          <w:szCs w:val="20"/>
          <w:color w:val="auto"/>
        </w:rPr>
      </w:pPr>
      <w:r>
        <w:rPr>
          <w:rFonts w:ascii="Arial" w:cs="Arial" w:eastAsia="Arial" w:hAnsi="Arial"/>
          <w:sz w:val="16"/>
          <w:szCs w:val="16"/>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36" w:lineRule="exact"/>
        <w:rPr>
          <w:sz w:val="20"/>
          <w:szCs w:val="20"/>
          <w:color w:val="auto"/>
        </w:rPr>
      </w:pPr>
    </w:p>
    <w:p>
      <w:pPr>
        <w:ind w:right="400" w:firstLine="391"/>
        <w:spacing w:after="0" w:line="253" w:lineRule="auto"/>
        <w:rPr>
          <w:sz w:val="20"/>
          <w:szCs w:val="20"/>
          <w:color w:val="auto"/>
        </w:rPr>
      </w:pPr>
      <w:r>
        <w:rPr>
          <w:rFonts w:ascii="Arial" w:cs="Arial" w:eastAsia="Arial" w:hAnsi="Arial"/>
          <w:sz w:val="16"/>
          <w:szCs w:val="16"/>
          <w:color w:val="auto"/>
        </w:rPr>
        <w:t>During the year ended December 31, 2022, we paid approximately $302.7 million to fund client-related obligations, including tenant improvements and leasing commissions.</w:t>
      </w:r>
    </w:p>
    <w:p>
      <w:pPr>
        <w:spacing w:after="0" w:line="134"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During the year ended December 31, 2022, we and our unconsolidated joint venture partners incurred approximately $415 million of new client-related obligations associated with approximately 4.5 million square feet of second generation leases, or approximately $93 per square foot. In addition, we signed leases for approximately 1.2 million square feet of first generation leases. The client-related obligations for the development properties are included within the projects’ “Estimated Total Investment” referred to in “</w:t>
      </w:r>
      <w:r>
        <w:rPr>
          <w:rFonts w:ascii="Arial" w:cs="Arial" w:eastAsia="Arial" w:hAnsi="Arial"/>
          <w:sz w:val="16"/>
          <w:szCs w:val="16"/>
          <w:i w:val="1"/>
          <w:iCs w:val="1"/>
          <w:color w:val="auto"/>
        </w:rPr>
        <w:t>Item 7—Management’s Discussion and Analysis of Financial Condition and Results of Operations—Liquidity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Capital Resources.” </w:t>
      </w:r>
      <w:r>
        <w:rPr>
          <w:rFonts w:ascii="Arial" w:cs="Arial" w:eastAsia="Arial" w:hAnsi="Arial"/>
          <w:sz w:val="16"/>
          <w:szCs w:val="16"/>
          <w:color w:val="auto"/>
        </w:rPr>
        <w:t>In the aggregate, during 2022, we signed leases for approximately 5.7 million square feet of space and incurred aggregate client-related</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approximately $732 million, or approximately $129 per square foot.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2022, there were no new accounting pronouncements.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w:t>
      </w:r>
      <w:r>
        <w:rPr>
          <w:rFonts w:ascii="Arial" w:cs="Arial" w:eastAsia="Arial" w:hAnsi="Arial"/>
          <w:sz w:val="16"/>
          <w:szCs w:val="16"/>
          <w:b w:val="1"/>
          <w:bCs w:val="1"/>
          <w:i w:val="1"/>
          <w:iCs w:val="1"/>
          <w:color w:val="auto"/>
        </w:rPr>
        <w:t>Quantitative and Qualitative Disclosures about Market Risk.</w:t>
      </w:r>
    </w:p>
    <w:p>
      <w:pPr>
        <w:spacing w:after="0" w:line="9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following table presents the aggregate carrying value of our mortgage notes payable, net, unsecured senior notes, net, unsecured line of credit, unsecured term loans, net and our corresponding estimate of fair value as of December 31, 2022. As of December 31, 2022, approximately $13.5 billion of these borrowings bore interest at fixed rates and therefore the fair value of these instruments is affected by changes in the market interest rates. As of December 31, 2022, the weighted-average interest rate on our variable rate debt was 4.85% per annum. The following table presents our aggregate debt obligations with corresponding weighted-average GAAP interest rates sorted by maturity date.</w:t>
      </w:r>
    </w:p>
    <w:p>
      <w:pPr>
        <w:spacing w:after="0" w:line="140" w:lineRule="exact"/>
        <w:rPr>
          <w:sz w:val="20"/>
          <w:szCs w:val="20"/>
          <w:color w:val="auto"/>
        </w:rPr>
      </w:pPr>
    </w:p>
    <w:p>
      <w:pPr>
        <w:ind w:right="160" w:firstLine="391"/>
        <w:spacing w:after="0" w:line="250" w:lineRule="auto"/>
        <w:rPr>
          <w:sz w:val="20"/>
          <w:szCs w:val="20"/>
          <w:color w:val="auto"/>
        </w:rPr>
      </w:pPr>
      <w:r>
        <w:rPr>
          <w:rFonts w:ascii="Arial" w:cs="Arial" w:eastAsia="Arial" w:hAnsi="Arial"/>
          <w:sz w:val="16"/>
          <w:szCs w:val="16"/>
          <w:color w:val="auto"/>
        </w:rPr>
        <w:t>The table below does not include our unconsolidated joint venture debt. For a discussion concerning our unconsolidated joint venture debt, see Note 6 to the Consolidated Financial Statements and “</w:t>
      </w:r>
      <w:r>
        <w:rPr>
          <w:rFonts w:ascii="Arial" w:cs="Arial" w:eastAsia="Arial" w:hAnsi="Arial"/>
          <w:sz w:val="16"/>
          <w:szCs w:val="16"/>
          <w:i w:val="1"/>
          <w:iCs w:val="1"/>
          <w:color w:val="auto"/>
        </w:rPr>
        <w:t>Item 7</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Resources—Investment in Unconsolidated Joint Ventures - Secured Debt.</w:t>
      </w:r>
      <w:r>
        <w:rPr>
          <w:rFonts w:ascii="Arial" w:cs="Arial" w:eastAsia="Arial" w:hAnsi="Arial"/>
          <w:sz w:val="16"/>
          <w:szCs w:val="16"/>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37"/>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gridSpan w:val="5"/>
          </w:tcPr>
          <w:p>
            <w:pPr>
              <w:jc w:val="center"/>
              <w:ind w:right="300"/>
              <w:spacing w:after="0" w:line="123" w:lineRule="exact"/>
              <w:rPr>
                <w:sz w:val="20"/>
                <w:szCs w:val="20"/>
                <w:color w:val="auto"/>
              </w:rPr>
            </w:pPr>
            <w:r>
              <w:rPr>
                <w:rFonts w:ascii="Arial" w:cs="Arial" w:eastAsia="Arial" w:hAnsi="Arial"/>
                <w:sz w:val="13"/>
                <w:szCs w:val="13"/>
                <w:b w:val="1"/>
                <w:bCs w:val="1"/>
                <w:color w:val="auto"/>
                <w:w w:val="97"/>
              </w:rPr>
              <w:t>(dollars in thousands)</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7"/>
              </w:rPr>
              <w:t>Mortgage debt, net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Fixed Rate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2,297,141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994,587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3,272,368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2,744,479</w:t>
            </w:r>
          </w:p>
        </w:tc>
        <w:tc>
          <w:tcPr>
            <w:tcW w:w="0" w:type="dxa"/>
            <w:vAlign w:val="bottom"/>
          </w:tcPr>
          <w:p>
            <w:pPr>
              <w:spacing w:after="0"/>
              <w:rPr>
                <w:sz w:val="1"/>
                <w:szCs w:val="1"/>
                <w:color w:val="auto"/>
              </w:rPr>
            </w:pPr>
          </w:p>
        </w:tc>
      </w:tr>
      <w:tr>
        <w:trPr>
          <w:trHeight w:val="146"/>
        </w:trPr>
        <w:tc>
          <w:tcPr>
            <w:tcW w:w="1260" w:type="dxa"/>
            <w:vAlign w:val="bottom"/>
          </w:tcPr>
          <w:p>
            <w:pPr>
              <w:ind w:left="20"/>
              <w:spacing w:after="0" w:line="147" w:lineRule="exact"/>
              <w:rPr>
                <w:sz w:val="20"/>
                <w:szCs w:val="20"/>
                <w:color w:val="auto"/>
              </w:rPr>
            </w:pPr>
            <w:r>
              <w:rPr>
                <w:rFonts w:ascii="Arial" w:cs="Arial" w:eastAsia="Arial" w:hAnsi="Arial"/>
                <w:sz w:val="13"/>
                <w:szCs w:val="13"/>
                <w:color w:val="auto"/>
              </w:rPr>
              <w:t>GAAP Average</w:t>
            </w:r>
          </w:p>
        </w:tc>
        <w:tc>
          <w:tcPr>
            <w:tcW w:w="240" w:type="dxa"/>
            <w:vAlign w:val="bottom"/>
          </w:tcPr>
          <w:p>
            <w:pPr>
              <w:spacing w:after="0"/>
              <w:rPr>
                <w:sz w:val="12"/>
                <w:szCs w:val="12"/>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2"/>
                <w:szCs w:val="12"/>
                <w:color w:val="auto"/>
              </w:rPr>
            </w:pPr>
          </w:p>
        </w:tc>
        <w:tc>
          <w:tcPr>
            <w:tcW w:w="960" w:type="dxa"/>
            <w:vAlign w:val="bottom"/>
            <w:gridSpan w:val="2"/>
            <w:vMerge w:val="restart"/>
          </w:tcPr>
          <w:p>
            <w:pPr>
              <w:ind w:left="56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2"/>
                <w:szCs w:val="12"/>
                <w:color w:val="auto"/>
              </w:rPr>
            </w:pPr>
          </w:p>
        </w:tc>
        <w:tc>
          <w:tcPr>
            <w:tcW w:w="960" w:type="dxa"/>
            <w:vAlign w:val="bottom"/>
            <w:gridSpan w:val="2"/>
            <w:vMerge w:val="restart"/>
          </w:tcPr>
          <w:p>
            <w:pPr>
              <w:ind w:left="56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2"/>
                <w:szCs w:val="12"/>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3.64 %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2.93 %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3.42 %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60" w:type="dxa"/>
            <w:vAlign w:val="bottom"/>
          </w:tcPr>
          <w:p>
            <w:pPr>
              <w:ind w:left="160"/>
              <w:spacing w:after="0"/>
              <w:rPr>
                <w:sz w:val="20"/>
                <w:szCs w:val="20"/>
                <w:color w:val="auto"/>
              </w:rPr>
            </w:pPr>
            <w:r>
              <w:rPr>
                <w:rFonts w:ascii="Arial" w:cs="Arial" w:eastAsia="Arial" w:hAnsi="Arial"/>
                <w:sz w:val="13"/>
                <w:szCs w:val="13"/>
                <w:color w:val="auto"/>
              </w:rPr>
              <w:t>Interest Rate</w:t>
            </w: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Rate</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7"/>
              </w:rPr>
              <w:t>Unsecured debt, net</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Rate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488,105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689,277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840,541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1,991,944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743,326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5,484,775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10,237,968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9,135,512</w:t>
            </w:r>
          </w:p>
        </w:tc>
        <w:tc>
          <w:tcPr>
            <w:tcW w:w="0" w:type="dxa"/>
            <w:vAlign w:val="bottom"/>
          </w:tcPr>
          <w:p>
            <w:pPr>
              <w:spacing w:after="0"/>
              <w:rPr>
                <w:sz w:val="1"/>
                <w:szCs w:val="1"/>
                <w:color w:val="auto"/>
              </w:rPr>
            </w:pPr>
          </w:p>
        </w:tc>
      </w:tr>
      <w:tr>
        <w:trPr>
          <w:trHeight w:val="146"/>
        </w:trPr>
        <w:tc>
          <w:tcPr>
            <w:tcW w:w="1260" w:type="dxa"/>
            <w:vAlign w:val="bottom"/>
          </w:tcPr>
          <w:p>
            <w:pPr>
              <w:ind w:left="20"/>
              <w:spacing w:after="0" w:line="147" w:lineRule="exact"/>
              <w:rPr>
                <w:sz w:val="20"/>
                <w:szCs w:val="20"/>
                <w:color w:val="auto"/>
              </w:rPr>
            </w:pPr>
            <w:r>
              <w:rPr>
                <w:rFonts w:ascii="Arial" w:cs="Arial" w:eastAsia="Arial" w:hAnsi="Arial"/>
                <w:sz w:val="13"/>
                <w:szCs w:val="13"/>
                <w:color w:val="auto"/>
              </w:rPr>
              <w:t>GAAP Average</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3.28 %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3.92 %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3.35 %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3.63 %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6.92 %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3.33 %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3.69 %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60" w:type="dxa"/>
            <w:vAlign w:val="bottom"/>
          </w:tcPr>
          <w:p>
            <w:pPr>
              <w:ind w:left="160"/>
              <w:spacing w:after="0"/>
              <w:rPr>
                <w:sz w:val="20"/>
                <w:szCs w:val="20"/>
                <w:color w:val="auto"/>
              </w:rPr>
            </w:pPr>
            <w:r>
              <w:rPr>
                <w:rFonts w:ascii="Arial" w:cs="Arial" w:eastAsia="Arial" w:hAnsi="Arial"/>
                <w:sz w:val="13"/>
                <w:szCs w:val="13"/>
                <w:color w:val="auto"/>
              </w:rPr>
              <w:t>Interest Rate</w:t>
            </w: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Rate</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730,000</w:t>
            </w:r>
          </w:p>
        </w:tc>
        <w:tc>
          <w:tcPr>
            <w:tcW w:w="0" w:type="dxa"/>
            <w:vAlign w:val="bottom"/>
          </w:tcPr>
          <w:p>
            <w:pPr>
              <w:spacing w:after="0"/>
              <w:rPr>
                <w:sz w:val="1"/>
                <w:szCs w:val="1"/>
                <w:color w:val="auto"/>
              </w:rPr>
            </w:pPr>
          </w:p>
        </w:tc>
      </w:tr>
      <w:tr>
        <w:trPr>
          <w:trHeight w:val="165"/>
        </w:trPr>
        <w:tc>
          <w:tcPr>
            <w:tcW w:w="1260" w:type="dxa"/>
            <w:vAlign w:val="bottom"/>
          </w:tcPr>
          <w:p>
            <w:pPr>
              <w:ind w:left="20"/>
              <w:spacing w:after="0" w:line="149" w:lineRule="exact"/>
              <w:rPr>
                <w:sz w:val="20"/>
                <w:szCs w:val="20"/>
                <w:color w:val="auto"/>
              </w:rPr>
            </w:pPr>
            <w:r>
              <w:rPr>
                <w:rFonts w:ascii="Arial" w:cs="Arial" w:eastAsia="Arial" w:hAnsi="Arial"/>
                <w:sz w:val="13"/>
                <w:szCs w:val="13"/>
                <w:color w:val="auto"/>
              </w:rPr>
              <w:t>Total Debt</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1,213,265</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684,437</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835,701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1,987,104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3,040,467</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6,479,362</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14,240,336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12,609,991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At December 31, 2022, the weighted-average coupon/stated rates on the fixed rate debt stated above was 3.51% per annum. At December 31, 2022, our outstanding variable rate debt totaled $730.0 million. At December 31, 2022, the coupon/stated rate on our variable rate debt was approximately 4.85% per annum. If market interest rates on our variable rate debt had been 100 basis points greater, total interest expense would have increased approximately $7.3 million, on an annualized basis, for the year ended December 31, 2022.</w:t>
      </w:r>
    </w:p>
    <w:p>
      <w:pPr>
        <w:spacing w:after="0" w:line="137" w:lineRule="exact"/>
        <w:rPr>
          <w:sz w:val="20"/>
          <w:szCs w:val="20"/>
          <w:color w:val="auto"/>
        </w:rPr>
      </w:pPr>
    </w:p>
    <w:p>
      <w:pPr>
        <w:jc w:val="both"/>
        <w:ind w:right="60" w:firstLine="391"/>
        <w:spacing w:after="0" w:line="286" w:lineRule="auto"/>
        <w:rPr>
          <w:sz w:val="20"/>
          <w:szCs w:val="20"/>
          <w:color w:val="auto"/>
        </w:rPr>
      </w:pPr>
      <w:r>
        <w:rPr>
          <w:rFonts w:ascii="Arial" w:cs="Arial" w:eastAsia="Arial" w:hAnsi="Arial"/>
          <w:sz w:val="15"/>
          <w:szCs w:val="15"/>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81"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We expect that all LIBOR settings relevant to us will cease to be published or will no longer be representative after June 30, 2023. The discontinuation of LIBOR will not affect our ability to borrow or maintain already outstanding borrowings or hedging transactions, but if our contracts indexed to LIBOR are converted to SOFR, the differences between LIBOR and SOFR, plus the recommended spread adjustment, could result in interest or hedging costs that are higher than if LIBOR remained available. Additionally, although SOFR is the recommended replacement rate, it is also possible that lenders may instead choose alternative replacements that may differ from LIBOR in ways similar to SOFR or in ways that would result in higher interest or hedging costs for us. It is not yet possible to predict the magnitude of LIBOR’s end on our borrowing costs given the remaining uncertainty about which rates will replace LIBOR. As of December 31, 2022, each of the agreements governing our variable rate debt, for our consolidated debt, either have been transitioned to SOFR or provide for the replacement of LIBOR if it becomes unavailable during the term of such agreement.</w:t>
      </w:r>
    </w:p>
    <w:p>
      <w:pPr>
        <w:spacing w:after="0" w:line="122" w:lineRule="exact"/>
        <w:rPr>
          <w:sz w:val="20"/>
          <w:szCs w:val="20"/>
          <w:color w:val="auto"/>
        </w:rPr>
      </w:pPr>
    </w:p>
    <w:p>
      <w:pPr>
        <w:ind w:right="220" w:firstLine="391"/>
        <w:spacing w:after="0" w:line="274" w:lineRule="auto"/>
        <w:rPr>
          <w:sz w:val="20"/>
          <w:szCs w:val="20"/>
          <w:color w:val="auto"/>
        </w:rPr>
      </w:pPr>
      <w:r>
        <w:rPr>
          <w:rFonts w:ascii="Arial" w:cs="Arial" w:eastAsia="Arial" w:hAnsi="Arial"/>
          <w:sz w:val="16"/>
          <w:szCs w:val="16"/>
          <w:color w:val="auto"/>
        </w:rPr>
        <w:t>Additional disclosure about market risk is incorporated herein by reference from “</w:t>
      </w:r>
      <w:r>
        <w:rPr>
          <w:rFonts w:ascii="Arial" w:cs="Arial" w:eastAsia="Arial" w:hAnsi="Arial"/>
          <w:sz w:val="16"/>
          <w:szCs w:val="16"/>
          <w:i w:val="1"/>
          <w:iCs w:val="1"/>
          <w:color w:val="auto"/>
        </w:rPr>
        <w:t>Item 7</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Operations—Liquidity and Capital Resources—Market Risk.</w:t>
      </w: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 AND BOSTON PROPERTIES LIMITED PARTNERSHIP</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Page</w:t>
            </w:r>
          </w:p>
        </w:tc>
      </w:tr>
      <w:tr>
        <w:trPr>
          <w:trHeight w:val="425"/>
        </w:trPr>
        <w:tc>
          <w:tcPr>
            <w:tcW w:w="10140" w:type="dxa"/>
            <w:vAlign w:val="bottom"/>
            <w:gridSpan w:val="14"/>
          </w:tcPr>
          <w:p>
            <w:pPr>
              <w:spacing w:after="0"/>
              <w:rPr>
                <w:sz w:val="20"/>
                <w:szCs w:val="20"/>
                <w:color w:val="auto"/>
              </w:rPr>
            </w:pPr>
            <w:r>
              <w:rPr>
                <w:rFonts w:ascii="Arial" w:cs="Arial" w:eastAsia="Arial" w:hAnsi="Arial"/>
                <w:sz w:val="16"/>
                <w:szCs w:val="16"/>
                <w:color w:val="auto"/>
              </w:rPr>
              <w:t>Boston Properties, Inc.</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320" w:type="dxa"/>
            <w:vAlign w:val="bottom"/>
          </w:tcPr>
          <w:p>
            <w:pPr>
              <w:spacing w:after="0"/>
              <w:rPr>
                <w:sz w:val="14"/>
                <w:szCs w:val="14"/>
                <w:color w:val="auto"/>
              </w:rPr>
            </w:pPr>
          </w:p>
        </w:tc>
        <w:tc>
          <w:tcPr>
            <w:tcW w:w="9820" w:type="dxa"/>
            <w:vAlign w:val="bottom"/>
            <w:gridSpan w:val="13"/>
          </w:tcPr>
          <w:p>
            <w:pPr>
              <w:spacing w:after="0" w:line="168" w:lineRule="exact"/>
              <w:rPr>
                <w:sz w:val="20"/>
                <w:szCs w:val="20"/>
                <w:color w:val="auto"/>
              </w:rPr>
            </w:pPr>
            <w:r>
              <w:rPr>
                <w:rFonts w:ascii="Arial" w:cs="Arial" w:eastAsia="Arial" w:hAnsi="Arial"/>
                <w:sz w:val="16"/>
                <w:szCs w:val="16"/>
                <w:color w:val="0000FF"/>
              </w:rPr>
              <w:t>Management’s Report on Internal Control over Financial Reporting</w:t>
            </w:r>
          </w:p>
        </w:tc>
        <w:tc>
          <w:tcPr>
            <w:tcW w:w="1060" w:type="dxa"/>
            <w:vAlign w:val="bottom"/>
            <w:gridSpan w:val="2"/>
          </w:tcPr>
          <w:p>
            <w:pPr>
              <w:jc w:val="right"/>
              <w:spacing w:after="0" w:line="168" w:lineRule="exact"/>
              <w:rPr>
                <w:sz w:val="20"/>
                <w:szCs w:val="20"/>
                <w:color w:val="auto"/>
              </w:rPr>
            </w:pPr>
            <w:r>
              <w:rPr>
                <w:rFonts w:ascii="Arial" w:cs="Arial" w:eastAsia="Arial" w:hAnsi="Arial"/>
                <w:sz w:val="16"/>
                <w:szCs w:val="16"/>
                <w:color w:val="0000FF"/>
              </w:rPr>
              <w:t>106</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 xml:space="preserve">Report of Independent Registered Public Accounting Firm (PCAOB </w:t>
            </w:r>
            <w:r>
              <w:rPr>
                <w:rFonts w:ascii="Arial" w:cs="Arial" w:eastAsia="Arial" w:hAnsi="Arial"/>
                <w:sz w:val="16"/>
                <w:szCs w:val="16"/>
                <w:color w:val="0E32E1"/>
              </w:rPr>
              <w:t>ID 238)</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107</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220" w:type="dxa"/>
            <w:vAlign w:val="bottom"/>
            <w:tcBorders>
              <w:left w:val="single" w:sz="8" w:color="0E32E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4680" w:type="dxa"/>
            <w:vAlign w:val="bottom"/>
            <w:gridSpan w:val="3"/>
          </w:tcPr>
          <w:p>
            <w:pPr>
              <w:spacing w:after="0" w:line="181" w:lineRule="exact"/>
              <w:rPr>
                <w:sz w:val="20"/>
                <w:szCs w:val="20"/>
                <w:color w:val="auto"/>
              </w:rPr>
            </w:pPr>
            <w:r>
              <w:rPr>
                <w:rFonts w:ascii="Arial" w:cs="Arial" w:eastAsia="Arial" w:hAnsi="Arial"/>
                <w:sz w:val="16"/>
                <w:szCs w:val="16"/>
                <w:color w:val="0000FF"/>
              </w:rPr>
              <w:t>Consolidated Balance Sheets as of December 31, 2022 and 2021</w:t>
            </w:r>
          </w:p>
        </w:tc>
        <w:tc>
          <w:tcPr>
            <w:tcW w:w="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4640" w:type="dxa"/>
            <w:vAlign w:val="bottom"/>
            <w:gridSpan w:val="7"/>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110</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Consolidated Statements of Operations for the years ended December 31, 2022, 2021 and 2020</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112</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Consolidated Statements of Comprehensive Income for the years ended December 31, 2022, 2021 and 2020</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113</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6400" w:type="dxa"/>
            <w:vAlign w:val="bottom"/>
            <w:gridSpan w:val="7"/>
          </w:tcPr>
          <w:p>
            <w:pPr>
              <w:spacing w:after="0" w:line="181" w:lineRule="exact"/>
              <w:rPr>
                <w:sz w:val="20"/>
                <w:szCs w:val="20"/>
                <w:color w:val="auto"/>
              </w:rPr>
            </w:pPr>
            <w:r>
              <w:rPr>
                <w:rFonts w:ascii="Arial" w:cs="Arial" w:eastAsia="Arial" w:hAnsi="Arial"/>
                <w:sz w:val="16"/>
                <w:szCs w:val="16"/>
                <w:color w:val="0000FF"/>
                <w:w w:val="98"/>
              </w:rPr>
              <w:t>Consolidated Statements of Equity for the years ended December 31, 2022, 2021 and 2020</w:t>
            </w:r>
          </w:p>
        </w:tc>
        <w:tc>
          <w:tcPr>
            <w:tcW w:w="1220" w:type="dxa"/>
            <w:vAlign w:val="bottom"/>
            <w:gridSpan w:val="3"/>
          </w:tcPr>
          <w:p>
            <w:pPr>
              <w:spacing w:after="0"/>
              <w:rPr>
                <w:sz w:val="15"/>
                <w:szCs w:val="15"/>
                <w:color w:val="auto"/>
              </w:rPr>
            </w:pPr>
          </w:p>
        </w:tc>
        <w:tc>
          <w:tcPr>
            <w:tcW w:w="2200" w:type="dxa"/>
            <w:vAlign w:val="bottom"/>
            <w:gridSpan w:val="3"/>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114</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6780" w:type="dxa"/>
            <w:vAlign w:val="bottom"/>
            <w:gridSpan w:val="9"/>
          </w:tcPr>
          <w:p>
            <w:pPr>
              <w:spacing w:after="0" w:line="181" w:lineRule="exact"/>
              <w:rPr>
                <w:sz w:val="20"/>
                <w:szCs w:val="20"/>
                <w:color w:val="auto"/>
              </w:rPr>
            </w:pPr>
            <w:r>
              <w:rPr>
                <w:rFonts w:ascii="Arial" w:cs="Arial" w:eastAsia="Arial" w:hAnsi="Arial"/>
                <w:sz w:val="16"/>
                <w:szCs w:val="16"/>
                <w:color w:val="0000FF"/>
                <w:w w:val="98"/>
              </w:rPr>
              <w:t>Consolidated Statements of Cash Flows for the years ended December 31, 2022, 2021 and 2020</w:t>
            </w:r>
          </w:p>
        </w:tc>
        <w:tc>
          <w:tcPr>
            <w:tcW w:w="3040" w:type="dxa"/>
            <w:vAlign w:val="bottom"/>
            <w:gridSpan w:val="4"/>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116</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88"/>
        </w:trPr>
        <w:tc>
          <w:tcPr>
            <w:tcW w:w="10140" w:type="dxa"/>
            <w:vAlign w:val="bottom"/>
            <w:gridSpan w:val="14"/>
          </w:tcPr>
          <w:p>
            <w:pPr>
              <w:spacing w:after="0"/>
              <w:rPr>
                <w:sz w:val="20"/>
                <w:szCs w:val="20"/>
                <w:color w:val="auto"/>
              </w:rPr>
            </w:pPr>
            <w:r>
              <w:rPr>
                <w:rFonts w:ascii="Arial" w:cs="Arial" w:eastAsia="Arial" w:hAnsi="Arial"/>
                <w:sz w:val="16"/>
                <w:szCs w:val="16"/>
                <w:color w:val="auto"/>
              </w:rPr>
              <w:t>Boston Properties Limited Partnership</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320" w:type="dxa"/>
            <w:vAlign w:val="bottom"/>
          </w:tcPr>
          <w:p>
            <w:pPr>
              <w:spacing w:after="0"/>
              <w:rPr>
                <w:sz w:val="14"/>
                <w:szCs w:val="14"/>
                <w:color w:val="auto"/>
              </w:rPr>
            </w:pPr>
          </w:p>
        </w:tc>
        <w:tc>
          <w:tcPr>
            <w:tcW w:w="9820" w:type="dxa"/>
            <w:vAlign w:val="bottom"/>
            <w:gridSpan w:val="13"/>
          </w:tcPr>
          <w:p>
            <w:pPr>
              <w:spacing w:after="0" w:line="168" w:lineRule="exact"/>
              <w:rPr>
                <w:sz w:val="20"/>
                <w:szCs w:val="20"/>
                <w:color w:val="auto"/>
              </w:rPr>
            </w:pPr>
            <w:r>
              <w:rPr>
                <w:rFonts w:ascii="Arial" w:cs="Arial" w:eastAsia="Arial" w:hAnsi="Arial"/>
                <w:sz w:val="16"/>
                <w:szCs w:val="16"/>
                <w:color w:val="0000FF"/>
              </w:rPr>
              <w:t>Management’s Report on Internal Control over Financial Reporting</w:t>
            </w:r>
          </w:p>
        </w:tc>
        <w:tc>
          <w:tcPr>
            <w:tcW w:w="1060" w:type="dxa"/>
            <w:vAlign w:val="bottom"/>
            <w:gridSpan w:val="2"/>
          </w:tcPr>
          <w:p>
            <w:pPr>
              <w:jc w:val="right"/>
              <w:spacing w:after="0" w:line="168" w:lineRule="exact"/>
              <w:rPr>
                <w:sz w:val="20"/>
                <w:szCs w:val="20"/>
                <w:color w:val="auto"/>
              </w:rPr>
            </w:pPr>
            <w:r>
              <w:rPr>
                <w:rFonts w:ascii="Arial" w:cs="Arial" w:eastAsia="Arial" w:hAnsi="Arial"/>
                <w:sz w:val="16"/>
                <w:szCs w:val="16"/>
                <w:color w:val="0000FF"/>
              </w:rPr>
              <w:t>119</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 xml:space="preserve">Report of Independent Registered Public Accounting Firm (PCAOB ID </w:t>
            </w:r>
            <w:r>
              <w:rPr>
                <w:rFonts w:ascii="Arial" w:cs="Arial" w:eastAsia="Arial" w:hAnsi="Arial"/>
                <w:sz w:val="16"/>
                <w:szCs w:val="16"/>
                <w:color w:val="0E32E1"/>
              </w:rPr>
              <w:t>238</w:t>
            </w:r>
            <w:r>
              <w:rPr>
                <w:rFonts w:ascii="Arial" w:cs="Arial" w:eastAsia="Arial" w:hAnsi="Arial"/>
                <w:sz w:val="16"/>
                <w:szCs w:val="16"/>
                <w:u w:val="single" w:color="auto"/>
                <w:color w:val="0000FF"/>
              </w:rPr>
              <w:t>)</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120</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4880" w:type="dxa"/>
            <w:vAlign w:val="bottom"/>
            <w:gridSpan w:val="5"/>
          </w:tcPr>
          <w:p>
            <w:pPr>
              <w:spacing w:after="0" w:line="181" w:lineRule="exact"/>
              <w:rPr>
                <w:sz w:val="20"/>
                <w:szCs w:val="20"/>
                <w:color w:val="auto"/>
              </w:rPr>
            </w:pPr>
            <w:r>
              <w:rPr>
                <w:rFonts w:ascii="Arial" w:cs="Arial" w:eastAsia="Arial" w:hAnsi="Arial"/>
                <w:sz w:val="16"/>
                <w:szCs w:val="16"/>
                <w:color w:val="0000FF"/>
              </w:rPr>
              <w:t>Consolidated Balance Sheets as of December 31, 2022 and 2021</w:t>
            </w:r>
          </w:p>
        </w:tc>
        <w:tc>
          <w:tcPr>
            <w:tcW w:w="300" w:type="dxa"/>
            <w:vAlign w:val="bottom"/>
          </w:tcPr>
          <w:p>
            <w:pPr>
              <w:spacing w:after="0"/>
              <w:rPr>
                <w:sz w:val="15"/>
                <w:szCs w:val="15"/>
                <w:color w:val="auto"/>
              </w:rPr>
            </w:pPr>
          </w:p>
        </w:tc>
        <w:tc>
          <w:tcPr>
            <w:tcW w:w="4640" w:type="dxa"/>
            <w:vAlign w:val="bottom"/>
            <w:gridSpan w:val="7"/>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123</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Consolidated Statements of Operations for the years ended December 31, 2022, 2021 and 2020</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125</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660" w:type="dxa"/>
            <w:vAlign w:val="bottom"/>
            <w:gridSpan w:val="7"/>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9820" w:type="dxa"/>
            <w:vAlign w:val="bottom"/>
            <w:gridSpan w:val="13"/>
          </w:tcPr>
          <w:p>
            <w:pPr>
              <w:spacing w:after="0" w:line="181" w:lineRule="exact"/>
              <w:rPr>
                <w:sz w:val="20"/>
                <w:szCs w:val="20"/>
                <w:color w:val="auto"/>
              </w:rPr>
            </w:pPr>
            <w:r>
              <w:rPr>
                <w:rFonts w:ascii="Arial" w:cs="Arial" w:eastAsia="Arial" w:hAnsi="Arial"/>
                <w:sz w:val="16"/>
                <w:szCs w:val="16"/>
                <w:color w:val="0000FF"/>
              </w:rPr>
              <w:t>Consolidated Statements of Comprehensive Income for the years ended December 31, 2022, 2021 and 2020</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126</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560" w:type="dxa"/>
            <w:vAlign w:val="bottom"/>
            <w:gridSpan w:val="9"/>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8460" w:type="dxa"/>
            <w:vAlign w:val="bottom"/>
            <w:gridSpan w:val="11"/>
          </w:tcPr>
          <w:p>
            <w:pPr>
              <w:spacing w:after="0" w:line="181" w:lineRule="exact"/>
              <w:rPr>
                <w:sz w:val="20"/>
                <w:szCs w:val="20"/>
                <w:color w:val="auto"/>
              </w:rPr>
            </w:pPr>
            <w:r>
              <w:rPr>
                <w:rFonts w:ascii="Arial" w:cs="Arial" w:eastAsia="Arial" w:hAnsi="Arial"/>
                <w:sz w:val="16"/>
                <w:szCs w:val="16"/>
                <w:color w:val="0000FF"/>
                <w:w w:val="98"/>
              </w:rPr>
              <w:t>Consolidated Statements of Capital and Noncontrolling Interests for the years ended December 31, 2022, 2021 and 2020</w:t>
            </w:r>
          </w:p>
        </w:tc>
        <w:tc>
          <w:tcPr>
            <w:tcW w:w="1360" w:type="dxa"/>
            <w:vAlign w:val="bottom"/>
            <w:gridSpan w:val="2"/>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127</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400" w:type="dxa"/>
            <w:vAlign w:val="bottom"/>
            <w:gridSpan w:val="10"/>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8460" w:type="dxa"/>
            <w:vAlign w:val="bottom"/>
            <w:gridSpan w:val="11"/>
          </w:tcPr>
          <w:p>
            <w:pPr>
              <w:spacing w:after="0" w:line="181" w:lineRule="exact"/>
              <w:rPr>
                <w:sz w:val="20"/>
                <w:szCs w:val="20"/>
                <w:color w:val="auto"/>
              </w:rPr>
            </w:pPr>
            <w:r>
              <w:rPr>
                <w:rFonts w:ascii="Arial" w:cs="Arial" w:eastAsia="Arial" w:hAnsi="Arial"/>
                <w:sz w:val="16"/>
                <w:szCs w:val="16"/>
                <w:color w:val="0000FF"/>
              </w:rPr>
              <w:t>Consolidated Statements of Cash Flows for the years ended December 31, 2022, 2021 and 2020</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0000FF"/>
              </w:rPr>
              <w:t>129</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840" w:type="dxa"/>
            <w:vAlign w:val="bottom"/>
            <w:gridSpan w:val="11"/>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54"/>
        </w:trPr>
        <w:tc>
          <w:tcPr>
            <w:tcW w:w="320" w:type="dxa"/>
            <w:vAlign w:val="bottom"/>
          </w:tcPr>
          <w:p>
            <w:pPr>
              <w:spacing w:after="0"/>
              <w:rPr>
                <w:sz w:val="24"/>
                <w:szCs w:val="24"/>
                <w:color w:val="auto"/>
              </w:rPr>
            </w:pPr>
          </w:p>
        </w:tc>
        <w:tc>
          <w:tcPr>
            <w:tcW w:w="8900" w:type="dxa"/>
            <w:vAlign w:val="bottom"/>
            <w:gridSpan w:val="12"/>
          </w:tcPr>
          <w:p>
            <w:pPr>
              <w:spacing w:after="0"/>
              <w:rPr>
                <w:sz w:val="20"/>
                <w:szCs w:val="20"/>
                <w:color w:val="auto"/>
              </w:rPr>
            </w:pPr>
            <w:r>
              <w:rPr>
                <w:rFonts w:ascii="Arial" w:cs="Arial" w:eastAsia="Arial" w:hAnsi="Arial"/>
                <w:sz w:val="16"/>
                <w:szCs w:val="16"/>
                <w:color w:val="0000FF"/>
              </w:rPr>
              <w:t>Notes to Consolidated Financial Statements</w:t>
            </w:r>
          </w:p>
        </w:tc>
        <w:tc>
          <w:tcPr>
            <w:tcW w:w="9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0000FF"/>
              </w:rPr>
              <w:t>132</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88"/>
        </w:trPr>
        <w:tc>
          <w:tcPr>
            <w:tcW w:w="10140" w:type="dxa"/>
            <w:vAlign w:val="bottom"/>
            <w:gridSpan w:val="14"/>
          </w:tcPr>
          <w:p>
            <w:pPr>
              <w:spacing w:after="0"/>
              <w:rPr>
                <w:sz w:val="20"/>
                <w:szCs w:val="20"/>
                <w:color w:val="auto"/>
              </w:rPr>
            </w:pPr>
            <w:r>
              <w:rPr>
                <w:rFonts w:ascii="Arial" w:cs="Arial" w:eastAsia="Arial" w:hAnsi="Arial"/>
                <w:sz w:val="16"/>
                <w:szCs w:val="16"/>
                <w:color w:val="auto"/>
              </w:rPr>
              <w:t>Boston Properties, Inc.</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320" w:type="dxa"/>
            <w:vAlign w:val="bottom"/>
          </w:tcPr>
          <w:p>
            <w:pPr>
              <w:spacing w:after="0"/>
              <w:rPr>
                <w:sz w:val="14"/>
                <w:szCs w:val="14"/>
                <w:color w:val="auto"/>
              </w:rPr>
            </w:pPr>
          </w:p>
        </w:tc>
        <w:tc>
          <w:tcPr>
            <w:tcW w:w="9820" w:type="dxa"/>
            <w:vAlign w:val="bottom"/>
            <w:gridSpan w:val="13"/>
          </w:tcPr>
          <w:p>
            <w:pPr>
              <w:spacing w:after="0" w:line="168" w:lineRule="exact"/>
              <w:rPr>
                <w:sz w:val="20"/>
                <w:szCs w:val="20"/>
                <w:color w:val="auto"/>
              </w:rPr>
            </w:pPr>
            <w:r>
              <w:rPr>
                <w:rFonts w:ascii="Arial" w:cs="Arial" w:eastAsia="Arial" w:hAnsi="Arial"/>
                <w:sz w:val="16"/>
                <w:szCs w:val="16"/>
                <w:color w:val="0000FF"/>
              </w:rPr>
              <w:t>Financial Statement Schedule—Schedule 3 - Real Estate Investments and Accumulated Depreciation as of December 31, 2022</w:t>
            </w:r>
          </w:p>
        </w:tc>
        <w:tc>
          <w:tcPr>
            <w:tcW w:w="1060" w:type="dxa"/>
            <w:vAlign w:val="bottom"/>
            <w:gridSpan w:val="2"/>
          </w:tcPr>
          <w:p>
            <w:pPr>
              <w:jc w:val="right"/>
              <w:spacing w:after="0" w:line="168" w:lineRule="exact"/>
              <w:rPr>
                <w:sz w:val="20"/>
                <w:szCs w:val="20"/>
                <w:color w:val="auto"/>
              </w:rPr>
            </w:pPr>
            <w:r>
              <w:rPr>
                <w:rFonts w:ascii="Arial" w:cs="Arial" w:eastAsia="Arial" w:hAnsi="Arial"/>
                <w:sz w:val="16"/>
                <w:szCs w:val="16"/>
                <w:color w:val="0000FF"/>
              </w:rPr>
              <w:t>182</w:t>
            </w:r>
          </w:p>
        </w:tc>
      </w:tr>
      <w:tr>
        <w:trPr>
          <w:trHeight w:val="20"/>
        </w:trPr>
        <w:tc>
          <w:tcPr>
            <w:tcW w:w="320" w:type="dxa"/>
            <w:vAlign w:val="bottom"/>
          </w:tcPr>
          <w:p>
            <w:pPr>
              <w:spacing w:after="0" w:line="20" w:lineRule="exact"/>
              <w:rPr>
                <w:sz w:val="1"/>
                <w:szCs w:val="1"/>
                <w:color w:val="auto"/>
              </w:rPr>
            </w:pPr>
          </w:p>
        </w:tc>
        <w:tc>
          <w:tcPr>
            <w:tcW w:w="8900" w:type="dxa"/>
            <w:vAlign w:val="bottom"/>
            <w:gridSpan w:val="1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88"/>
        </w:trPr>
        <w:tc>
          <w:tcPr>
            <w:tcW w:w="10140" w:type="dxa"/>
            <w:vAlign w:val="bottom"/>
            <w:gridSpan w:val="14"/>
          </w:tcPr>
          <w:p>
            <w:pPr>
              <w:spacing w:after="0"/>
              <w:rPr>
                <w:sz w:val="20"/>
                <w:szCs w:val="20"/>
                <w:color w:val="auto"/>
              </w:rPr>
            </w:pPr>
            <w:r>
              <w:rPr>
                <w:rFonts w:ascii="Arial" w:cs="Arial" w:eastAsia="Arial" w:hAnsi="Arial"/>
                <w:sz w:val="16"/>
                <w:szCs w:val="16"/>
                <w:color w:val="auto"/>
              </w:rPr>
              <w:t>Boston Properties Limited Partnership</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320" w:type="dxa"/>
            <w:vAlign w:val="bottom"/>
          </w:tcPr>
          <w:p>
            <w:pPr>
              <w:spacing w:after="0"/>
              <w:rPr>
                <w:sz w:val="14"/>
                <w:szCs w:val="14"/>
                <w:color w:val="auto"/>
              </w:rPr>
            </w:pPr>
          </w:p>
        </w:tc>
        <w:tc>
          <w:tcPr>
            <w:tcW w:w="9820" w:type="dxa"/>
            <w:vAlign w:val="bottom"/>
            <w:gridSpan w:val="13"/>
          </w:tcPr>
          <w:p>
            <w:pPr>
              <w:spacing w:after="0" w:line="168" w:lineRule="exact"/>
              <w:rPr>
                <w:sz w:val="20"/>
                <w:szCs w:val="20"/>
                <w:color w:val="auto"/>
              </w:rPr>
            </w:pPr>
            <w:r>
              <w:rPr>
                <w:rFonts w:ascii="Arial" w:cs="Arial" w:eastAsia="Arial" w:hAnsi="Arial"/>
                <w:sz w:val="16"/>
                <w:szCs w:val="16"/>
                <w:color w:val="0000FF"/>
              </w:rPr>
              <w:t>Financial Statement Schedule—Schedule 3 - Real Estate Investments and Accumulated Depreciation as of December 31, 2022</w:t>
            </w:r>
          </w:p>
        </w:tc>
        <w:tc>
          <w:tcPr>
            <w:tcW w:w="1060" w:type="dxa"/>
            <w:vAlign w:val="bottom"/>
            <w:gridSpan w:val="2"/>
          </w:tcPr>
          <w:p>
            <w:pPr>
              <w:jc w:val="right"/>
              <w:spacing w:after="0" w:line="168" w:lineRule="exact"/>
              <w:rPr>
                <w:sz w:val="20"/>
                <w:szCs w:val="20"/>
                <w:color w:val="auto"/>
              </w:rPr>
            </w:pPr>
            <w:r>
              <w:rPr>
                <w:rFonts w:ascii="Arial" w:cs="Arial" w:eastAsia="Arial" w:hAnsi="Arial"/>
                <w:sz w:val="16"/>
                <w:szCs w:val="16"/>
                <w:color w:val="0000FF"/>
              </w:rPr>
              <w:t>187</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-3002280</wp:posOffset>
            </wp:positionV>
            <wp:extent cx="2794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228"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All other schedules for which a provision is made in the applicable accounting regulations of the SEC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Report on Internal Control over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Reporting</w:t>
      </w:r>
    </w:p>
    <w:p>
      <w:pPr>
        <w:spacing w:after="0" w:line="160"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Management of Boston Properties, Inc. is responsible for establishing and maintaining adequate internal control over financial reporting for Boston Properties, Inc. Boston Properties, Inc.’s internal control over financial reporting is a process designed under the supervision of its principal executive officer and principal financial officer to provide reasonable assurance regarding the reliability of financial reporting and the preparation of Boston Properties, Inc.’s financial statements for external reporting purposes in accordance with U.S. generally accepted accounting principles.</w:t>
      </w:r>
    </w:p>
    <w:p>
      <w:pPr>
        <w:spacing w:after="0" w:line="137"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As of the end of Boston Properties, Inc.’s 2022 fiscal year, management conducted assessments of the effectiveness of Boston Properties, Inc.’s internal control over financial reporting based on the framework established in Internal Control—Integrated Framework (2013) issued by the Committee of Sponsoring Organizations of the Treadway Commission (COSO). Based on these assessments, management has determined that Boston Properties, Inc.’s internal control over financial reporting as of December 31, 2022 was effective.</w:t>
      </w:r>
    </w:p>
    <w:p>
      <w:pPr>
        <w:spacing w:after="0" w:line="137"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Our internal control over financial reporting includes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Boston Properties, Inc.; and (3) provide reasonable assurance regarding prevention or timely detection of unauthorized acquisition, use or disposition of Boston Properties, Inc.’s assets that could have a material effect on its financial statements.</w:t>
      </w:r>
    </w:p>
    <w:p>
      <w:pPr>
        <w:spacing w:after="0" w:line="124" w:lineRule="exact"/>
        <w:rPr>
          <w:sz w:val="20"/>
          <w:szCs w:val="20"/>
          <w:color w:val="auto"/>
        </w:rPr>
      </w:pPr>
    </w:p>
    <w:p>
      <w:pPr>
        <w:ind w:right="140" w:firstLine="391"/>
        <w:spacing w:after="0" w:line="250" w:lineRule="auto"/>
        <w:rPr>
          <w:sz w:val="20"/>
          <w:szCs w:val="20"/>
          <w:color w:val="auto"/>
        </w:rPr>
      </w:pPr>
      <w:r>
        <w:rPr>
          <w:rFonts w:ascii="Arial" w:cs="Arial" w:eastAsia="Arial" w:hAnsi="Arial"/>
          <w:sz w:val="16"/>
          <w:szCs w:val="16"/>
          <w:color w:val="auto"/>
        </w:rPr>
        <w:t>The effectiveness of Boston Properties, Inc.’s internal control over financial reporting as of December 31, 2022 has been audited by PricewaterhouseCoopers LLP, an independent registered public accounting firm, as stated in its report appearing on page 107, which expresses an unqualified opinion on the effectiveness of Boston Properties, Inc.’s internal control over financial reporting as of December 31, 2022.</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Boston Properties, Inc.</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200"/>
        <w:spacing w:after="0" w:line="269" w:lineRule="auto"/>
        <w:rPr>
          <w:sz w:val="20"/>
          <w:szCs w:val="20"/>
          <w:color w:val="auto"/>
        </w:rPr>
      </w:pPr>
      <w:r>
        <w:rPr>
          <w:rFonts w:ascii="Arial" w:cs="Arial" w:eastAsia="Arial" w:hAnsi="Arial"/>
          <w:sz w:val="15"/>
          <w:szCs w:val="15"/>
          <w:color w:val="auto"/>
        </w:rPr>
        <w:t xml:space="preserve">We have audited the accompanying consolidated balance sheets of Boston Properties, Inc. and its subsidiaries (the “Company”) as of December 31, 2022 and 2021, and the related consolidated statements of operations, of comprehensive income, of equity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2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2022 and 2021</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6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right="260"/>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12" w:name="page113"/>
    <w:bookmarkEnd w:id="112"/>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180"/>
        <w:spacing w:after="0" w:line="25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6" w:lineRule="exact"/>
        <w:rPr>
          <w:sz w:val="20"/>
          <w:szCs w:val="20"/>
          <w:color w:val="auto"/>
        </w:rPr>
      </w:pPr>
    </w:p>
    <w:p>
      <w:pPr>
        <w:ind w:left="5"/>
        <w:spacing w:after="0" w:line="263"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jc w:val="both"/>
        <w:ind w:left="5" w:right="220" w:hanging="5"/>
        <w:spacing w:after="0" w:line="250" w:lineRule="auto"/>
        <w:tabs>
          <w:tab w:leader="none" w:pos="2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222222"/>
        </w:rPr>
        <w:t xml:space="preserve">Assessment of Impairment Indicators </w:t>
      </w:r>
      <w:r>
        <w:rPr>
          <w:rFonts w:ascii="Arial" w:cs="Arial" w:eastAsia="Arial" w:hAnsi="Arial"/>
          <w:sz w:val="16"/>
          <w:szCs w:val="16"/>
          <w:i w:val="1"/>
          <w:iCs w:val="1"/>
          <w:color w:val="000000"/>
        </w:rPr>
        <w:t>of Long-Lived Assets and Investments in Unconsolidated Joint Ventures</w:t>
      </w:r>
    </w:p>
    <w:p>
      <w:pPr>
        <w:spacing w:after="0" w:line="164" w:lineRule="exact"/>
        <w:rPr>
          <w:sz w:val="20"/>
          <w:szCs w:val="20"/>
          <w:color w:val="auto"/>
        </w:rPr>
      </w:pPr>
    </w:p>
    <w:p>
      <w:pPr>
        <w:ind w:left="5"/>
        <w:spacing w:after="0" w:line="265" w:lineRule="auto"/>
        <w:rPr>
          <w:sz w:val="20"/>
          <w:szCs w:val="20"/>
          <w:color w:val="auto"/>
        </w:rPr>
      </w:pPr>
      <w:r>
        <w:rPr>
          <w:rFonts w:ascii="Arial" w:cs="Arial" w:eastAsia="Arial" w:hAnsi="Arial"/>
          <w:sz w:val="15"/>
          <w:szCs w:val="15"/>
          <w:color w:val="auto"/>
        </w:rPr>
        <w:t>As described in Notes 2, 3 and 6 to the consolidated financial statements, the Company’s total real estate balance was $19,496.4 million and its investments in unconsolidated joint ventures was $1,630.5 million as of December 31, 2022. During 2022, the Company recognized a $50.7 million other-than-temporary impairment related to an investment in an unconsolidated joint venture. 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more likely than not, a long-lived asset will be sold or otherwise disposed of significantly before the end of its previously estimated useful life or hold period. Management reviews its unconsolidated joint ventures for indicators of impairment on a quarterly basis and records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and market conditions. Management will record an impairment charge if it determines that a decline in the fair value below the carrying amount of an investment in an unconsolidated joint venture is other-than-temporary. The fair value of unconsolidated joint ventures is calculated using a discounted cash flow model which is subjective and considers assumptions regarding future occupancy, future rental rates, future capital requirements, discount rates, and capitalization rates.</w:t>
      </w:r>
    </w:p>
    <w:p>
      <w:pPr>
        <w:spacing w:after="0" w:line="132"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The principal considerations for our determination that performing procedures relating to the assessment of impairment indicators for long-lived assets and investments in unconsolidated joint ventures is a critical audit matter are (i) the significant judgment by management (a) in identifying the indicators of impairment for long-lived assets and investments in unconsolidated joint ventures and (b) when developing the fair value estimate of the investment in unconsolidated joint venture with an other- than- temporary impairment, (ii) a high degree of auditor judgment, subjectivity and effort in performing procedures and evaluating audit evidence related to (a) management's identification of the indicators of impairment related to the operating performance and anticipated hold periods for long-lived assets and the performance of each investment and market conditions for investments in unconsolidated joint ventures and (b) management’s assumptions related to future occupancy, future rental rates, future capital requirements, discount rate and capitalization rate (collectively referred to as “the significant fair value assumptions”), and (iii) the audit effort related to management’s development of the fair value estimate of the investment in unconsolidated joint venture with an other-than-temporary impairment involved the use of professionals with specialized skill and knowledge.</w:t>
      </w:r>
    </w:p>
    <w:p>
      <w:pPr>
        <w:spacing w:after="0" w:line="138" w:lineRule="exact"/>
        <w:rPr>
          <w:sz w:val="20"/>
          <w:szCs w:val="20"/>
          <w:color w:val="auto"/>
        </w:rPr>
      </w:pPr>
    </w:p>
    <w:p>
      <w:pPr>
        <w:ind w:left="5" w:right="60"/>
        <w:spacing w:after="0" w:line="263"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(i) the identification of the indicators of impairment for long-lived assets and investments in unconsolidated joint ventures and (ii) developing the fair value estimate of the unconsolidated investment in joint venture with an other- than-temporary impairment. For the identification of the indicators of impairment, these procedures also included, among others, (i) testing management's process for identifying the indicators of impairment for long-lived assets and investments in unconsolidated joint ventures, (ii) evaluating the reasonableness of the models,</w:t>
      </w:r>
    </w:p>
    <w:p>
      <w:pPr>
        <w:spacing w:after="0" w:line="3" w:lineRule="exact"/>
        <w:rPr>
          <w:sz w:val="20"/>
          <w:szCs w:val="20"/>
          <w:color w:val="auto"/>
        </w:rPr>
      </w:pPr>
    </w:p>
    <w:p>
      <w:pPr>
        <w:ind w:left="5" w:right="380" w:hanging="5"/>
        <w:spacing w:after="0" w:line="286" w:lineRule="auto"/>
        <w:tabs>
          <w:tab w:leader="none" w:pos="2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testing the completeness and accuracy of the underlying data used in the models, and (iv) evaluating the reasonableness of management’s indicators of impairment related to the operating performance and anticipated hold periods for long-lived assets and the performance of each investment and market</w:t>
      </w:r>
    </w:p>
    <w:p>
      <w:pPr>
        <w:spacing w:after="0" w:line="200" w:lineRule="exact"/>
        <w:rPr>
          <w:sz w:val="20"/>
          <w:szCs w:val="20"/>
          <w:color w:val="auto"/>
        </w:rPr>
      </w:pP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5"/>
          </w:cols>
          <w:pgMar w:left="315" w:top="281" w:right="339" w:bottom="1440" w:gutter="0" w:footer="0" w:header="0"/>
        </w:sectPr>
      </w:pPr>
    </w:p>
    <w:bookmarkStart w:id="113" w:name="page114"/>
    <w:bookmarkEnd w:id="113"/>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conditions for investments in unconsolidated joint ventures. Evaluating the operating performance and anticipated hold periods involved considering the current and past performance of the long-lived assets, the consistency with external market and industry data, and whether the indicators were consistent with evidence obtained in other areas of the audit. Evaluating performance of each investment and market conditions involved considering changes in the performance of the investments and market conditions and evidence obtained in other areas of the audit. For the fair value estimate of the unconsolidated investment in joint venture with an other- than- temporary decline, these procedures also included, among others, (i) testing management’s process for developing the fair value estimate of the investment in unconsolidated joint venture relating to the other-than-temporary impairment, (ii) evaluating the appropriateness of management’s discounted cash flow model, (iii) testing the completeness and accuracy of the underlying data used in the model, and (iv) evaluating the reasonableness of the significant fair value assumptions used by management by considering industry knowledge and data, historical company data, and evidence obtained in other areas of the audit. Professionals with specialized skill and knowledge were used to assist in the evaluation of the appropriateness of the discounted cash flow model and reasonableness of the significant fair value assumptions.</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Purchase Price Allocation for Long-Lived Asset Property Acquisitions</w:t>
      </w:r>
    </w:p>
    <w:p>
      <w:pPr>
        <w:spacing w:after="0" w:line="164" w:lineRule="exact"/>
        <w:rPr>
          <w:sz w:val="20"/>
          <w:szCs w:val="20"/>
          <w:color w:val="auto"/>
        </w:rPr>
      </w:pPr>
    </w:p>
    <w:p>
      <w:pPr>
        <w:ind w:left="5" w:right="40"/>
        <w:spacing w:after="0" w:line="268" w:lineRule="auto"/>
        <w:rPr>
          <w:sz w:val="20"/>
          <w:szCs w:val="20"/>
          <w:color w:val="auto"/>
        </w:rPr>
      </w:pPr>
      <w:r>
        <w:rPr>
          <w:rFonts w:ascii="Arial" w:cs="Arial" w:eastAsia="Arial" w:hAnsi="Arial"/>
          <w:sz w:val="15"/>
          <w:szCs w:val="15"/>
          <w:color w:val="auto"/>
        </w:rPr>
        <w:t>As described in Notes 2 and 3 to the consolidated financial statements, during the year ended December 31, 2022, the Company acquired two properties for an aggregate purchase price of $1,316.7 million. Management assesses the fair value of acquired tangible and intangible assets (including land, buildings and improvements, tenant improvements, “above-” and “below-market” leases, leasing costs, acquired in-place leases, other identified intangible assets and assumed liabilities) and allocates the purchase price to the acquired assets and assumed liabilities, including land and buildings as if vacant. Management assesses fair value based on estimated cash flow projections that utilize discount, and/or capitalization rates, and available market information. Estimates of future cash flows are based on a number of factors including the historical operating results, known and anticipated trends, and market and economic conditions.</w:t>
      </w:r>
    </w:p>
    <w:p>
      <w:pPr>
        <w:spacing w:after="0" w:line="124" w:lineRule="exact"/>
        <w:rPr>
          <w:sz w:val="20"/>
          <w:szCs w:val="20"/>
          <w:color w:val="auto"/>
        </w:rPr>
      </w:pPr>
    </w:p>
    <w:p>
      <w:pPr>
        <w:ind w:left="5" w:right="20"/>
        <w:spacing w:after="0" w:line="248" w:lineRule="auto"/>
        <w:rPr>
          <w:sz w:val="20"/>
          <w:szCs w:val="20"/>
          <w:color w:val="auto"/>
        </w:rPr>
      </w:pPr>
      <w:r>
        <w:rPr>
          <w:rFonts w:ascii="Arial" w:cs="Arial" w:eastAsia="Arial" w:hAnsi="Arial"/>
          <w:sz w:val="16"/>
          <w:szCs w:val="16"/>
          <w:color w:val="auto"/>
        </w:rPr>
        <w:t>The principal considerations for our determination that performing procedures relating to the purchase price allocation for long-lived asset property acquisitions is a critical audit matter are (i) the significant judgment by management in developing the fair value estimates of assets acquired and the corresponding purchase price allocation, (ii) a high degree of auditor judgment, subjectivity, and effort in performing procedures and evaluating audit evidence related to management’s significant assumptions related to discount rates and capitalization rates, and (iii) the audit effort involved the use of professionals with specialized skill and knowledge.</w:t>
      </w:r>
    </w:p>
    <w:p>
      <w:pPr>
        <w:spacing w:after="0" w:line="140" w:lineRule="exact"/>
        <w:rPr>
          <w:sz w:val="20"/>
          <w:szCs w:val="20"/>
          <w:color w:val="auto"/>
        </w:rPr>
      </w:pPr>
    </w:p>
    <w:p>
      <w:pPr>
        <w:ind w:left="5" w:right="60"/>
        <w:spacing w:after="0" w:line="263"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purchase price allocation for long-lived asset property acquisitions, including controls over the assumptions related to discount rates and capitalization rates used to determine the fair value of the assets acquired and the corresponding purchase price allocation. These procedures also included, among others, (i) reading the purchase agreements for all acquisitions, (ii) testing management’s process for developing the fair value estimates of the assets acquired and the corresponding purchase price allocation, (iii) evaluating the appropriateness of management’s discounted cash flow methods, (iv) testing the completeness and accuracy of the underlying data used in the methods, and,</w:t>
      </w:r>
    </w:p>
    <w:p>
      <w:pPr>
        <w:spacing w:after="0" w:line="4" w:lineRule="exact"/>
        <w:rPr>
          <w:sz w:val="20"/>
          <w:szCs w:val="20"/>
          <w:color w:val="auto"/>
        </w:rPr>
      </w:pPr>
    </w:p>
    <w:p>
      <w:pPr>
        <w:ind w:left="5" w:right="240" w:hanging="5"/>
        <w:spacing w:after="0" w:line="250" w:lineRule="auto"/>
        <w:tabs>
          <w:tab w:leader="none" w:pos="23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evaluating the reasonableness of the significant assumptions used by management, related to the discount rates and capitalization rates by considering industry knowledge and data as well as historical company data and experience. Professionals with specialized skill and knowledge were used to assist in the evaluation of the appropriateness of the discounted cash flow model and reasonableness of the discount rates and capitalization rates assumptions.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
        <w:spacing w:after="0"/>
        <w:rPr>
          <w:sz w:val="20"/>
          <w:szCs w:val="20"/>
          <w:color w:val="auto"/>
        </w:rPr>
      </w:pPr>
      <w:r>
        <w:rPr>
          <w:rFonts w:ascii="Arial" w:cs="Arial" w:eastAsia="Arial" w:hAnsi="Arial"/>
          <w:sz w:val="16"/>
          <w:szCs w:val="16"/>
          <w:color w:val="auto"/>
        </w:rPr>
        <w:t>/s/ PricewaterhouseCoopers LLP</w:t>
      </w:r>
    </w:p>
    <w:p>
      <w:pPr>
        <w:spacing w:after="0" w:line="6" w:lineRule="exact"/>
        <w:rPr>
          <w:sz w:val="20"/>
          <w:szCs w:val="20"/>
          <w:color w:val="auto"/>
        </w:rPr>
      </w:pPr>
    </w:p>
    <w:p>
      <w:pPr>
        <w:ind w:left="5"/>
        <w:spacing w:after="0"/>
        <w:rPr>
          <w:sz w:val="20"/>
          <w:szCs w:val="20"/>
          <w:color w:val="auto"/>
        </w:rPr>
      </w:pPr>
      <w:r>
        <w:rPr>
          <w:rFonts w:ascii="Arial" w:cs="Arial" w:eastAsia="Arial" w:hAnsi="Arial"/>
          <w:sz w:val="16"/>
          <w:szCs w:val="16"/>
          <w:color w:val="auto"/>
        </w:rPr>
        <w:t>Boston, Massachusetts</w:t>
      </w:r>
    </w:p>
    <w:p>
      <w:pPr>
        <w:spacing w:after="0" w:line="6" w:lineRule="exact"/>
        <w:rPr>
          <w:sz w:val="20"/>
          <w:szCs w:val="20"/>
          <w:color w:val="auto"/>
        </w:rPr>
      </w:pPr>
    </w:p>
    <w:p>
      <w:pPr>
        <w:ind w:left="5"/>
        <w:spacing w:after="0"/>
        <w:rPr>
          <w:sz w:val="20"/>
          <w:szCs w:val="20"/>
          <w:color w:val="auto"/>
        </w:rPr>
      </w:pPr>
      <w:r>
        <w:rPr>
          <w:rFonts w:ascii="Arial" w:cs="Arial" w:eastAsia="Arial" w:hAnsi="Arial"/>
          <w:sz w:val="16"/>
          <w:szCs w:val="16"/>
          <w:color w:val="auto"/>
        </w:rPr>
        <w:t>February 27, 2023</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have served as the Company’s auditor since 1997.</w:t>
      </w:r>
    </w:p>
    <w:p>
      <w:pPr>
        <w:spacing w:after="0" w:line="200" w:lineRule="exact"/>
        <w:rPr>
          <w:sz w:val="20"/>
          <w:szCs w:val="20"/>
          <w:color w:val="auto"/>
        </w:rPr>
      </w:pPr>
    </w:p>
    <w:p>
      <w:pPr>
        <w:spacing w:after="0" w:line="292"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5"/>
          </w:cols>
          <w:pgMar w:left="315" w:top="28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BOSTON PROPERTIES, INC.</w:t>
      </w:r>
    </w:p>
    <w:p>
      <w:pPr>
        <w:spacing w:after="0" w:line="41"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72"/>
        </w:trPr>
        <w:tc>
          <w:tcPr>
            <w:tcW w:w="7880" w:type="dxa"/>
            <w:vAlign w:val="bottom"/>
            <w:tcBorders>
              <w:top w:val="single" w:sz="8" w:color="CCEEFF"/>
            </w:tcBorders>
            <w:shd w:val="clear" w:color="auto" w:fill="CCEEFF"/>
          </w:tcPr>
          <w:p>
            <w:pPr>
              <w:ind w:left="358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56"/>
        </w:trPr>
        <w:tc>
          <w:tcPr>
            <w:tcW w:w="7880" w:type="dxa"/>
            <w:vAlign w:val="bottom"/>
          </w:tcPr>
          <w:p>
            <w:pPr>
              <w:ind w:left="20"/>
              <w:spacing w:after="0" w:line="156" w:lineRule="exact"/>
              <w:rPr>
                <w:sz w:val="20"/>
                <w:szCs w:val="20"/>
                <w:color w:val="auto"/>
              </w:rPr>
            </w:pPr>
            <w:r>
              <w:rPr>
                <w:rFonts w:ascii="Arial" w:cs="Arial" w:eastAsia="Arial" w:hAnsi="Arial"/>
                <w:sz w:val="14"/>
                <w:szCs w:val="14"/>
                <w:color w:val="auto"/>
              </w:rPr>
              <w:t>Real estate, at cost (amounts related to variable interest entities (“VIEs”) of $6,789,029 and $6,702,830 at December 31,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Pr>
          <w:p>
            <w:pPr>
              <w:ind w:left="300"/>
              <w:spacing w:after="0"/>
              <w:rPr>
                <w:sz w:val="20"/>
                <w:szCs w:val="20"/>
                <w:color w:val="auto"/>
              </w:rPr>
            </w:pPr>
            <w:r>
              <w:rPr>
                <w:rFonts w:ascii="Arial" w:cs="Arial" w:eastAsia="Arial" w:hAnsi="Arial"/>
                <w:sz w:val="14"/>
                <w:szCs w:val="14"/>
                <w:color w:val="auto"/>
              </w:rPr>
              <w:t>2022 and December 31, 2021, respectively)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25,389,663</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23,752,630</w:t>
            </w:r>
          </w:p>
        </w:tc>
      </w:tr>
      <w:tr>
        <w:trPr>
          <w:trHeight w:val="158"/>
        </w:trPr>
        <w:tc>
          <w:tcPr>
            <w:tcW w:w="78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Right of use assets - finance leases (amounts related to VIEs of $21,000 and $21,000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237,507</w:t>
            </w:r>
          </w:p>
        </w:tc>
      </w:tr>
      <w:tr>
        <w:trPr>
          <w:trHeight w:val="187"/>
        </w:trPr>
        <w:tc>
          <w:tcPr>
            <w:tcW w:w="7880" w:type="dxa"/>
            <w:vAlign w:val="bottom"/>
          </w:tcPr>
          <w:p>
            <w:pPr>
              <w:ind w:left="20"/>
              <w:spacing w:after="0"/>
              <w:rPr>
                <w:sz w:val="20"/>
                <w:szCs w:val="20"/>
                <w:color w:val="auto"/>
              </w:rPr>
            </w:pPr>
            <w:r>
              <w:rPr>
                <w:rFonts w:ascii="Arial" w:cs="Arial" w:eastAsia="Arial" w:hAnsi="Arial"/>
                <w:sz w:val="14"/>
                <w:szCs w:val="14"/>
                <w:color w:val="auto"/>
              </w:rPr>
              <w:t>Right of use assets - operating leases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167,351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169,778</w:t>
            </w: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Less: accumulated depreciation (amounts related to VIEs of $(1,381,401) and $(1,283,060) at December 31, 2022</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and December 31, 2021, respectively)</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(6,298,082)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(5,883,961)</w:t>
            </w:r>
          </w:p>
        </w:tc>
      </w:tr>
      <w:tr>
        <w:trPr>
          <w:trHeight w:val="179"/>
        </w:trPr>
        <w:tc>
          <w:tcPr>
            <w:tcW w:w="7880" w:type="dxa"/>
            <w:vAlign w:val="bottom"/>
          </w:tcPr>
          <w:p>
            <w:pPr>
              <w:ind w:left="580"/>
              <w:spacing w:after="0"/>
              <w:rPr>
                <w:sz w:val="20"/>
                <w:szCs w:val="20"/>
                <w:color w:val="auto"/>
              </w:rPr>
            </w:pPr>
            <w:r>
              <w:rPr>
                <w:rFonts w:ascii="Arial" w:cs="Arial" w:eastAsia="Arial" w:hAnsi="Arial"/>
                <w:sz w:val="14"/>
                <w:szCs w:val="14"/>
                <w:color w:val="auto"/>
              </w:rPr>
              <w:t>Total real estate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19,496,442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18,275,954</w:t>
            </w:r>
          </w:p>
        </w:tc>
      </w:tr>
      <w:tr>
        <w:trPr>
          <w:trHeight w:val="158"/>
        </w:trPr>
        <w:tc>
          <w:tcPr>
            <w:tcW w:w="78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 and cash equivalents (amounts related to VIEs of $259,658 and $300,937 at December 31, 2022 and December 31,</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690,333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452,692</w:t>
            </w:r>
          </w:p>
        </w:tc>
      </w:tr>
      <w:tr>
        <w:trPr>
          <w:trHeight w:val="187"/>
        </w:trPr>
        <w:tc>
          <w:tcPr>
            <w:tcW w:w="7880" w:type="dxa"/>
            <w:vAlign w:val="bottom"/>
          </w:tcPr>
          <w:p>
            <w:pPr>
              <w:ind w:left="20"/>
              <w:spacing w:after="0"/>
              <w:rPr>
                <w:sz w:val="20"/>
                <w:szCs w:val="20"/>
                <w:color w:val="auto"/>
              </w:rPr>
            </w:pPr>
            <w:r>
              <w:rPr>
                <w:rFonts w:ascii="Arial" w:cs="Arial" w:eastAsia="Arial" w:hAnsi="Arial"/>
                <w:sz w:val="14"/>
                <w:szCs w:val="14"/>
                <w:color w:val="auto"/>
              </w:rPr>
              <w:t>Cash held in escrows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46,479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48,466</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securities</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43,632</w:t>
            </w:r>
          </w:p>
        </w:tc>
      </w:tr>
      <w:tr>
        <w:trPr>
          <w:trHeight w:val="156"/>
        </w:trPr>
        <w:tc>
          <w:tcPr>
            <w:tcW w:w="7880" w:type="dxa"/>
            <w:vAlign w:val="bottom"/>
          </w:tcPr>
          <w:p>
            <w:pPr>
              <w:ind w:left="20"/>
              <w:spacing w:after="0" w:line="156" w:lineRule="exact"/>
              <w:rPr>
                <w:sz w:val="20"/>
                <w:szCs w:val="20"/>
                <w:color w:val="auto"/>
              </w:rPr>
            </w:pPr>
            <w:r>
              <w:rPr>
                <w:rFonts w:ascii="Arial" w:cs="Arial" w:eastAsia="Arial" w:hAnsi="Arial"/>
                <w:sz w:val="14"/>
                <w:szCs w:val="14"/>
                <w:color w:val="auto"/>
              </w:rPr>
              <w:t>Tenant and other receivables, net (amounts related to VIEs of $16,521 and $6,824 at December 31, 2022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81,389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70,186</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note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78,576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78,336</w:t>
            </w:r>
          </w:p>
        </w:tc>
      </w:tr>
      <w:tr>
        <w:trPr>
          <w:trHeight w:val="187"/>
        </w:trPr>
        <w:tc>
          <w:tcPr>
            <w:tcW w:w="7880" w:type="dxa"/>
            <w:vAlign w:val="bottom"/>
          </w:tcPr>
          <w:p>
            <w:pPr>
              <w:ind w:left="20"/>
              <w:spacing w:after="0"/>
              <w:rPr>
                <w:sz w:val="20"/>
                <w:szCs w:val="20"/>
                <w:color w:val="auto"/>
              </w:rPr>
            </w:pPr>
            <w:r>
              <w:rPr>
                <w:rFonts w:ascii="Arial" w:cs="Arial" w:eastAsia="Arial" w:hAnsi="Arial"/>
                <w:sz w:val="14"/>
                <w:szCs w:val="14"/>
                <w:color w:val="auto"/>
              </w:rPr>
              <w:t>Notes receivable, net</w:t>
            </w:r>
          </w:p>
        </w:tc>
        <w:tc>
          <w:tcPr>
            <w:tcW w:w="14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9,641</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Sales-type lease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7880" w:type="dxa"/>
            <w:vAlign w:val="bottom"/>
          </w:tcPr>
          <w:p>
            <w:pPr>
              <w:ind w:left="20"/>
              <w:spacing w:after="0" w:line="156" w:lineRule="exact"/>
              <w:rPr>
                <w:sz w:val="20"/>
                <w:szCs w:val="20"/>
                <w:color w:val="auto"/>
              </w:rPr>
            </w:pPr>
            <w:r>
              <w:rPr>
                <w:rFonts w:ascii="Arial" w:cs="Arial" w:eastAsia="Arial" w:hAnsi="Arial"/>
                <w:sz w:val="14"/>
                <w:szCs w:val="14"/>
                <w:color w:val="auto"/>
              </w:rPr>
              <w:t>Accrued rental income, net (amounts related to VIEs of $367,138 and $357,395 at December 31, 2022 and December 31,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1,276,580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1,226,745</w:t>
            </w:r>
          </w:p>
        </w:tc>
      </w:tr>
      <w:tr>
        <w:trPr>
          <w:trHeight w:val="158"/>
        </w:trPr>
        <w:tc>
          <w:tcPr>
            <w:tcW w:w="78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Deferred charges, net (amounts related to VIEs of $176,597 and $174,637 at December 31, 2022 and December 31,</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733,282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618,798</w:t>
            </w:r>
          </w:p>
        </w:tc>
      </w:tr>
      <w:tr>
        <w:trPr>
          <w:trHeight w:val="156"/>
        </w:trPr>
        <w:tc>
          <w:tcPr>
            <w:tcW w:w="7880" w:type="dxa"/>
            <w:vAlign w:val="bottom"/>
          </w:tcPr>
          <w:p>
            <w:pPr>
              <w:ind w:left="20"/>
              <w:spacing w:after="0" w:line="156" w:lineRule="exact"/>
              <w:rPr>
                <w:sz w:val="20"/>
                <w:szCs w:val="20"/>
                <w:color w:val="auto"/>
              </w:rPr>
            </w:pPr>
            <w:r>
              <w:rPr>
                <w:rFonts w:ascii="Arial" w:cs="Arial" w:eastAsia="Arial" w:hAnsi="Arial"/>
                <w:sz w:val="14"/>
                <w:szCs w:val="14"/>
                <w:color w:val="auto"/>
              </w:rPr>
              <w:t>Prepaid expenses and other assets (amounts related to VIEs of $11,647 and $29,668 at December 31, 2022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43,589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57,811</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1,715,911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1,482,997</w:t>
            </w:r>
          </w:p>
        </w:tc>
      </w:tr>
      <w:tr>
        <w:trPr>
          <w:trHeight w:val="179"/>
        </w:trPr>
        <w:tc>
          <w:tcPr>
            <w:tcW w:w="7880" w:type="dxa"/>
            <w:vAlign w:val="bottom"/>
          </w:tcPr>
          <w:p>
            <w:pPr>
              <w:ind w:left="5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24,207,669</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22,365,258</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6"/>
        </w:trPr>
        <w:tc>
          <w:tcPr>
            <w:tcW w:w="7880" w:type="dxa"/>
            <w:vAlign w:val="bottom"/>
            <w:shd w:val="clear" w:color="auto" w:fill="CCEEFF"/>
          </w:tcPr>
          <w:p>
            <w:pPr>
              <w:ind w:left="30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7"/>
        </w:trPr>
        <w:tc>
          <w:tcPr>
            <w:tcW w:w="78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Mortgage notes payable, net (amounts related to VIEs of $3,272,368 and $3,267,914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3,272,368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3,267,914</w:t>
            </w: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Unsecured senior notes,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10,237,968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9,483,695</w:t>
            </w: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Unsecured line of credit</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145,000</w:t>
            </w: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Unsecured term loan,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730,000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Lease liabilities - finance leases (amounts related to VIEs of $20,604 and $20,458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249,335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244,421</w:t>
            </w: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Lease liabilities - operating leases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204,686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204,561</w:t>
            </w: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Accounts payable and accrued expenses (amounts related to VIEs of $29,466 and $29,464 at December 31, 2022</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and 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320,775</w:t>
            </w: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Dividends and distributions payable</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170,643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169,859</w:t>
            </w: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interest payable</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103,774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94,796</w:t>
            </w:r>
          </w:p>
        </w:tc>
      </w:tr>
      <w:tr>
        <w:trPr>
          <w:trHeight w:val="156"/>
        </w:trPr>
        <w:tc>
          <w:tcPr>
            <w:tcW w:w="7880" w:type="dxa"/>
            <w:vAlign w:val="bottom"/>
          </w:tcPr>
          <w:p>
            <w:pPr>
              <w:ind w:left="300"/>
              <w:spacing w:after="0" w:line="156" w:lineRule="exact"/>
              <w:rPr>
                <w:sz w:val="20"/>
                <w:szCs w:val="20"/>
                <w:color w:val="auto"/>
              </w:rPr>
            </w:pPr>
            <w:r>
              <w:rPr>
                <w:rFonts w:ascii="Arial" w:cs="Arial" w:eastAsia="Arial" w:hAnsi="Arial"/>
                <w:sz w:val="14"/>
                <w:szCs w:val="14"/>
                <w:color w:val="auto"/>
              </w:rPr>
              <w:t>Other liabilities (amounts related to VIEs of $114,232 and $150,131 at December 31, 2022 and December 31, 2021,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respectively)</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450,918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391,441</w:t>
            </w:r>
          </w:p>
        </w:tc>
      </w:tr>
      <w:tr>
        <w:trPr>
          <w:trHeight w:val="184"/>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15,837,237</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14,322,462</w:t>
            </w:r>
          </w:p>
        </w:tc>
      </w:tr>
      <w:tr>
        <w:trPr>
          <w:trHeight w:val="167"/>
        </w:trPr>
        <w:tc>
          <w:tcPr>
            <w:tcW w:w="7880" w:type="dxa"/>
            <w:vAlign w:val="bottom"/>
          </w:tcPr>
          <w:p>
            <w:pPr>
              <w:ind w:left="20"/>
              <w:spacing w:after="0"/>
              <w:rPr>
                <w:sz w:val="20"/>
                <w:szCs w:val="20"/>
                <w:color w:val="auto"/>
              </w:rPr>
            </w:pPr>
            <w:r>
              <w:rPr>
                <w:rFonts w:ascii="Arial" w:cs="Arial" w:eastAsia="Arial" w:hAnsi="Arial"/>
                <w:sz w:val="14"/>
                <w:szCs w:val="14"/>
                <w:color w:val="auto"/>
              </w:rPr>
              <w:t>Commitments and contingencies (See Note 8)</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8"/>
        </w:trPr>
        <w:tc>
          <w:tcPr>
            <w:tcW w:w="78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Redeemable deferred stock units— 97,853 and 83,073 units outstanding at redemption value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3"/>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6,613</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9,568</w:t>
            </w: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BOSTON PROPERTIES, INC.</w:t>
      </w:r>
    </w:p>
    <w:p>
      <w:pPr>
        <w:spacing w:after="0" w:line="41"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72"/>
        </w:trPr>
        <w:tc>
          <w:tcPr>
            <w:tcW w:w="788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attributable to Boston Properties, Inc.:</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Excess stock, $0.01 par value, 150,000,000 shares authorized, none issued or outstanding</w:t>
            </w:r>
          </w:p>
        </w:tc>
        <w:tc>
          <w:tcPr>
            <w:tcW w:w="14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$0.01 par value, 50,000,000 shares authorized, none issued or outstanding</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7880" w:type="dxa"/>
            <w:vAlign w:val="bottom"/>
          </w:tcPr>
          <w:p>
            <w:pPr>
              <w:ind w:left="300"/>
              <w:spacing w:after="0" w:line="156" w:lineRule="exact"/>
              <w:rPr>
                <w:sz w:val="20"/>
                <w:szCs w:val="20"/>
                <w:color w:val="auto"/>
              </w:rPr>
            </w:pPr>
            <w:r>
              <w:rPr>
                <w:rFonts w:ascii="Arial" w:cs="Arial" w:eastAsia="Arial" w:hAnsi="Arial"/>
                <w:sz w:val="14"/>
                <w:szCs w:val="14"/>
                <w:color w:val="auto"/>
              </w:rPr>
              <w:t>Common stock, $0.01 par value, 250,000,000 shares authorized, 156,836,767 and 156,623,749 issued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Pr>
          <w:p>
            <w:pPr>
              <w:ind w:left="580"/>
              <w:spacing w:after="0"/>
              <w:rPr>
                <w:sz w:val="20"/>
                <w:szCs w:val="20"/>
                <w:color w:val="auto"/>
              </w:rPr>
            </w:pPr>
            <w:r>
              <w:rPr>
                <w:rFonts w:ascii="Arial" w:cs="Arial" w:eastAsia="Arial" w:hAnsi="Arial"/>
                <w:sz w:val="14"/>
                <w:szCs w:val="14"/>
                <w:color w:val="auto"/>
              </w:rPr>
              <w:t>156,757,867 and 156,544,849 outstanding at December 31, 2022 and December 31, 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1,568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1,565</w:t>
            </w: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6,539,147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6,497,730</w:t>
            </w:r>
          </w:p>
        </w:tc>
      </w:tr>
      <w:tr>
        <w:trPr>
          <w:trHeight w:val="187"/>
        </w:trPr>
        <w:tc>
          <w:tcPr>
            <w:tcW w:w="7880" w:type="dxa"/>
            <w:vAlign w:val="bottom"/>
          </w:tcPr>
          <w:p>
            <w:pPr>
              <w:ind w:left="300"/>
              <w:spacing w:after="0"/>
              <w:rPr>
                <w:sz w:val="20"/>
                <w:szCs w:val="20"/>
                <w:color w:val="auto"/>
              </w:rPr>
            </w:pPr>
            <w:r>
              <w:rPr>
                <w:rFonts w:ascii="Arial" w:cs="Arial" w:eastAsia="Arial" w:hAnsi="Arial"/>
                <w:sz w:val="14"/>
                <w:szCs w:val="14"/>
                <w:color w:val="auto"/>
              </w:rPr>
              <w:t>Dividends in excess of earnings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(391,356)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(625,891)</w:t>
            </w: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Treasury common stock at cost, 78,900 shares at December 31, 2022 and December 31, 2021</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r>
      <w:tr>
        <w:trPr>
          <w:trHeight w:val="187"/>
        </w:trPr>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(13,718)</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(36,662)</w:t>
            </w:r>
          </w:p>
        </w:tc>
      </w:tr>
      <w:tr>
        <w:trPr>
          <w:trHeight w:val="184"/>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stockholders’ equity attributable to Boston Properties, Inc.</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6,132,919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5,834,020</w:t>
            </w:r>
          </w:p>
        </w:tc>
      </w:tr>
      <w:tr>
        <w:trPr>
          <w:trHeight w:val="187"/>
        </w:trPr>
        <w:tc>
          <w:tcPr>
            <w:tcW w:w="78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2"/>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Common units of Boston Properties Limited Partnership</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683,583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642,655</w:t>
            </w:r>
          </w:p>
        </w:tc>
      </w:tr>
      <w:tr>
        <w:trPr>
          <w:trHeight w:val="187"/>
        </w:trPr>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Property partnerships</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1,547,317</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1,556,553</w:t>
            </w:r>
          </w:p>
        </w:tc>
      </w:tr>
      <w:tr>
        <w:trPr>
          <w:trHeight w:val="184"/>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8,363,819</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8,033,228</w:t>
            </w:r>
          </w:p>
        </w:tc>
      </w:tr>
      <w:tr>
        <w:trPr>
          <w:trHeight w:val="179"/>
        </w:trPr>
        <w:tc>
          <w:tcPr>
            <w:tcW w:w="7880" w:type="dxa"/>
            <w:vAlign w:val="bottom"/>
          </w:tcPr>
          <w:p>
            <w:pPr>
              <w:ind w:left="58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24,207,669</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22,365,258</w:t>
            </w: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BOSTON PROPERTIES, INC.</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6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4"/>
        </w:trPr>
        <w:tc>
          <w:tcPr>
            <w:tcW w:w="68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r>
      <w:tr>
        <w:trPr>
          <w:trHeight w:val="170"/>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Lease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2,918,368</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2,753,014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2,646,261</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Parking and other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107,225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81,814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70,680</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Hotel</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39,482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7,478</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Development and management services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28,056</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29,641</w:t>
            </w:r>
          </w:p>
        </w:tc>
      </w:tr>
      <w:tr>
        <w:trPr>
          <w:trHeight w:val="187"/>
        </w:trPr>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12,487</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w:t>
            </w:r>
          </w:p>
        </w:tc>
      </w:tr>
      <w:tr>
        <w:trPr>
          <w:trHeight w:val="184"/>
        </w:trPr>
        <w:tc>
          <w:tcPr>
            <w:tcW w:w="68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3,108,581</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2,888,621</w:t>
            </w:r>
          </w:p>
        </w:tc>
        <w:tc>
          <w:tcPr>
            <w:tcW w:w="2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2,765,686</w:t>
            </w:r>
          </w:p>
        </w:tc>
      </w:tr>
      <w:tr>
        <w:trPr>
          <w:trHeight w:val="167"/>
        </w:trPr>
        <w:tc>
          <w:tcPr>
            <w:tcW w:w="6880" w:type="dxa"/>
            <w:vAlign w:val="bottom"/>
          </w:tcPr>
          <w:p>
            <w:pPr>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6880" w:type="dxa"/>
            <w:vAlign w:val="bottom"/>
          </w:tcPr>
          <w:p>
            <w:pPr>
              <w:ind w:left="580"/>
              <w:spacing w:after="0"/>
              <w:rPr>
                <w:sz w:val="20"/>
                <w:szCs w:val="20"/>
                <w:color w:val="auto"/>
              </w:rPr>
            </w:pPr>
            <w:r>
              <w:rPr>
                <w:rFonts w:ascii="Arial" w:cs="Arial" w:eastAsia="Arial" w:hAnsi="Arial"/>
                <w:sz w:val="14"/>
                <w:szCs w:val="14"/>
                <w:color w:val="auto"/>
              </w:rPr>
              <w:t>Rental</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1,108,070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1,021,151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1,017,208</w:t>
            </w:r>
          </w:p>
        </w:tc>
      </w:tr>
      <w:tr>
        <w:trPr>
          <w:trHeight w:val="192"/>
        </w:trPr>
        <w:tc>
          <w:tcPr>
            <w:tcW w:w="6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Hotel</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146,378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151,573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133,112</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11,626</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Transaction costs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5,036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1,531</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749,775</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717,336</w:t>
            </w:r>
          </w:p>
        </w:tc>
        <w:tc>
          <w:tcPr>
            <w:tcW w:w="2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683,751</w:t>
            </w:r>
          </w:p>
        </w:tc>
      </w:tr>
      <w:tr>
        <w:trPr>
          <w:trHeight w:val="179"/>
        </w:trPr>
        <w:tc>
          <w:tcPr>
            <w:tcW w:w="688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2,050,056</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1,920,581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1,860,364</w:t>
            </w:r>
          </w:p>
        </w:tc>
      </w:tr>
      <w:tr>
        <w:trPr>
          <w:trHeight w:val="172"/>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(59,840)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(85,110)</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437,019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618,982</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Gain on sales-type lease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10,058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and other income (loss)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Other income - assignment fee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(losses) from investments in securities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Unrealized loss on non-real estate investment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Losses from early extinguishment of debt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(437,139)</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(423,346)</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(431,717)</w:t>
            </w:r>
          </w:p>
        </w:tc>
      </w:tr>
      <w:tr>
        <w:trPr>
          <w:trHeight w:val="184"/>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1,020,584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631,932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1,018,691</w:t>
            </w:r>
          </w:p>
        </w:tc>
      </w:tr>
      <w:tr>
        <w:trPr>
          <w:trHeight w:val="187"/>
        </w:trPr>
        <w:tc>
          <w:tcPr>
            <w:tcW w:w="688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(74,857)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(48,260)</w:t>
            </w:r>
          </w:p>
        </w:tc>
      </w:tr>
      <w:tr>
        <w:trPr>
          <w:trHeight w:val="187"/>
        </w:trPr>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(96,780)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(55,931)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(97,704)</w:t>
            </w:r>
          </w:p>
        </w:tc>
      </w:tr>
      <w:tr>
        <w:trPr>
          <w:trHeight w:val="184"/>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Inc.</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848,947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505,195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872,727</w:t>
            </w: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Preferred dividends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(2,560)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(10,500)</w:t>
            </w: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redemption charge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2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880" w:type="dxa"/>
            <w:vAlign w:val="bottom"/>
          </w:tcPr>
          <w:p>
            <w:pPr>
              <w:spacing w:after="0"/>
              <w:rPr>
                <w:sz w:val="20"/>
                <w:szCs w:val="20"/>
                <w:color w:val="auto"/>
              </w:rPr>
            </w:pPr>
            <w:r>
              <w:rPr>
                <w:rFonts w:ascii="Arial" w:cs="Arial" w:eastAsia="Arial" w:hAnsi="Arial"/>
                <w:sz w:val="14"/>
                <w:szCs w:val="14"/>
                <w:color w:val="auto"/>
              </w:rPr>
              <w:t>Net income attributable to Boston Properties, Inc. common shareholders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848,947</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496,223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862,227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Basic earnings per common share attributable to Boston Properties, Inc. common shareholders: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7"/>
        </w:trPr>
        <w:tc>
          <w:tcPr>
            <w:tcW w:w="68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184"/>
        </w:trPr>
        <w:tc>
          <w:tcPr>
            <w:tcW w:w="68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156,726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156,116</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155,432</w:t>
            </w:r>
          </w:p>
        </w:tc>
      </w:tr>
      <w:tr>
        <w:trPr>
          <w:trHeight w:val="167"/>
        </w:trPr>
        <w:tc>
          <w:tcPr>
            <w:tcW w:w="6880" w:type="dxa"/>
            <w:vAlign w:val="bottom"/>
          </w:tcPr>
          <w:p>
            <w:pPr>
              <w:spacing w:after="0"/>
              <w:rPr>
                <w:sz w:val="20"/>
                <w:szCs w:val="20"/>
                <w:color w:val="auto"/>
              </w:rPr>
            </w:pPr>
            <w:r>
              <w:rPr>
                <w:rFonts w:ascii="Arial" w:cs="Arial" w:eastAsia="Arial" w:hAnsi="Arial"/>
                <w:sz w:val="14"/>
                <w:szCs w:val="14"/>
                <w:color w:val="auto"/>
              </w:rPr>
              <w:t>Diluted earnings per common share attributable to Boston Properties, Inc. common shareholders: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6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r>
      <w:tr>
        <w:trPr>
          <w:trHeight w:val="179"/>
        </w:trPr>
        <w:tc>
          <w:tcPr>
            <w:tcW w:w="6880" w:type="dxa"/>
            <w:vAlign w:val="bottom"/>
          </w:tcPr>
          <w:p>
            <w:pPr>
              <w:ind w:left="300"/>
              <w:spacing w:after="0"/>
              <w:rPr>
                <w:sz w:val="20"/>
                <w:szCs w:val="20"/>
                <w:color w:val="auto"/>
              </w:rPr>
            </w:pPr>
            <w:r>
              <w:rPr>
                <w:rFonts w:ascii="Arial" w:cs="Arial" w:eastAsia="Arial" w:hAnsi="Arial"/>
                <w:sz w:val="14"/>
                <w:szCs w:val="14"/>
                <w:color w:val="auto"/>
              </w:rPr>
              <w:t>Weighted average number of common and common equivalent shares outstanding</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157,137</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156,376</w:t>
            </w:r>
          </w:p>
        </w:tc>
        <w:tc>
          <w:tcPr>
            <w:tcW w:w="2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155,517</w:t>
            </w:r>
          </w:p>
        </w:tc>
      </w:tr>
    </w:tbl>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BOSTON PROPERTIES, INC.</w:t>
      </w:r>
    </w:p>
    <w:p>
      <w:pPr>
        <w:spacing w:after="0" w:line="5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194"/>
        </w:trPr>
        <w:tc>
          <w:tcPr>
            <w:tcW w:w="63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1,020,584</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631,932</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1,018,691</w:t>
            </w:r>
          </w:p>
        </w:tc>
      </w:tr>
      <w:tr>
        <w:trPr>
          <w:trHeight w:val="201"/>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Effective portion of interest rate contracts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19,396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8,544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(7,848)</w:t>
            </w:r>
          </w:p>
        </w:tc>
      </w:tr>
      <w:tr>
        <w:trPr>
          <w:trHeight w:val="201"/>
        </w:trPr>
        <w:tc>
          <w:tcPr>
            <w:tcW w:w="63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Amortization of interest rate contracts (1)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6,704</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6,697</w:t>
            </w:r>
          </w:p>
        </w:tc>
      </w:tr>
      <w:tr>
        <w:trPr>
          <w:trHeight w:val="194"/>
        </w:trPr>
        <w:tc>
          <w:tcPr>
            <w:tcW w:w="636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26,103</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15,248</w:t>
            </w:r>
          </w:p>
        </w:tc>
        <w:tc>
          <w:tcPr>
            <w:tcW w:w="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193"/>
        </w:trPr>
        <w:tc>
          <w:tcPr>
            <w:tcW w:w="6360" w:type="dxa"/>
            <w:vAlign w:val="bottom"/>
          </w:tcPr>
          <w:p>
            <w:pPr>
              <w:ind w:left="20"/>
              <w:spacing w:after="0" w:line="180" w:lineRule="exact"/>
              <w:rPr>
                <w:sz w:val="20"/>
                <w:szCs w:val="20"/>
                <w:color w:val="auto"/>
              </w:rPr>
            </w:pPr>
            <w:r>
              <w:rPr>
                <w:rFonts w:ascii="Arial" w:cs="Arial" w:eastAsia="Arial" w:hAnsi="Arial"/>
                <w:sz w:val="16"/>
                <w:szCs w:val="16"/>
                <w:color w:val="auto"/>
              </w:rPr>
              <w:t>Comprehensive income</w:t>
            </w:r>
          </w:p>
        </w:tc>
        <w:tc>
          <w:tcPr>
            <w:tcW w:w="32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1,046,687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647,180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1,017,540</w:t>
            </w: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(171,637)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(126,737)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(145,964)</w:t>
            </w:r>
          </w:p>
        </w:tc>
      </w:tr>
      <w:tr>
        <w:trPr>
          <w:trHeight w:val="20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attributable to noncontrolling interests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63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Comprehensive income attributable to Boston Properties, Inc.</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871,894</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518,423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871,172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 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080"/>
          </w:cols>
          <w:pgMar w:left="320" w:top="281" w:right="49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BOSTON PROPERTIES,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EQUITY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130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Additional</w:t>
            </w: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Dividends in</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Accumulated</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9"/>
              </w:rPr>
              <w:t>Noncontrolling</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Noncontrolling</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1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Preferred</w:t>
            </w:r>
          </w:p>
        </w:tc>
        <w:tc>
          <w:tcPr>
            <w:tcW w:w="8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5"/>
              </w:rPr>
              <w:t>Other</w:t>
            </w:r>
          </w:p>
        </w:tc>
        <w:tc>
          <w:tcPr>
            <w:tcW w:w="1000" w:type="dxa"/>
            <w:vAlign w:val="bottom"/>
            <w:gridSpan w:val="3"/>
            <w:vMerge w:val="continue"/>
          </w:tcPr>
          <w:p>
            <w:pPr>
              <w:spacing w:after="0"/>
              <w:rPr>
                <w:sz w:val="9"/>
                <w:szCs w:val="9"/>
                <w:color w:val="auto"/>
              </w:rPr>
            </w:pPr>
          </w:p>
        </w:tc>
        <w:tc>
          <w:tcPr>
            <w:tcW w:w="94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rPr>
              <w:t>Interests -</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0" w:type="dxa"/>
            <w:vAlign w:val="bottom"/>
            <w:gridSpan w:val="2"/>
            <w:vMerge w:val="restart"/>
          </w:tcPr>
          <w:p>
            <w:pPr>
              <w:jc w:val="center"/>
              <w:ind w:right="80"/>
              <w:spacing w:after="0" w:line="107" w:lineRule="exact"/>
              <w:rPr>
                <w:sz w:val="20"/>
                <w:szCs w:val="20"/>
                <w:color w:val="auto"/>
              </w:rPr>
            </w:pPr>
            <w:r>
              <w:rPr>
                <w:rFonts w:ascii="Arial" w:cs="Arial" w:eastAsia="Arial" w:hAnsi="Arial"/>
                <w:sz w:val="11"/>
                <w:szCs w:val="11"/>
                <w:b w:val="1"/>
                <w:bCs w:val="1"/>
                <w:color w:val="auto"/>
                <w:w w:val="98"/>
              </w:rPr>
              <w:t>Paid-in</w:t>
            </w:r>
          </w:p>
        </w:tc>
        <w:tc>
          <w:tcPr>
            <w:tcW w:w="800" w:type="dxa"/>
            <w:vAlign w:val="bottom"/>
            <w:gridSpan w:val="2"/>
            <w:vMerge w:val="restart"/>
          </w:tcPr>
          <w:p>
            <w:pPr>
              <w:jc w:val="center"/>
              <w:ind w:right="80"/>
              <w:spacing w:after="0" w:line="107" w:lineRule="exact"/>
              <w:rPr>
                <w:sz w:val="20"/>
                <w:szCs w:val="20"/>
                <w:color w:val="auto"/>
              </w:rPr>
            </w:pPr>
            <w:r>
              <w:rPr>
                <w:rFonts w:ascii="Arial" w:cs="Arial" w:eastAsia="Arial" w:hAnsi="Arial"/>
                <w:sz w:val="11"/>
                <w:szCs w:val="11"/>
                <w:b w:val="1"/>
                <w:bCs w:val="1"/>
                <w:color w:val="auto"/>
              </w:rPr>
              <w:t>Excess of</w:t>
            </w:r>
          </w:p>
        </w:tc>
        <w:tc>
          <w:tcPr>
            <w:tcW w:w="100" w:type="dxa"/>
            <w:vAlign w:val="bottom"/>
          </w:tcPr>
          <w:p>
            <w:pPr>
              <w:spacing w:after="0"/>
              <w:rPr>
                <w:sz w:val="2"/>
                <w:szCs w:val="2"/>
                <w:color w:val="auto"/>
              </w:rPr>
            </w:pPr>
          </w:p>
        </w:tc>
        <w:tc>
          <w:tcPr>
            <w:tcW w:w="660" w:type="dxa"/>
            <w:vAlign w:val="bottom"/>
            <w:gridSpan w:val="2"/>
            <w:vMerge w:val="restart"/>
          </w:tcPr>
          <w:p>
            <w:pPr>
              <w:jc w:val="center"/>
              <w:ind w:right="180"/>
              <w:spacing w:after="0" w:line="107" w:lineRule="exact"/>
              <w:rPr>
                <w:sz w:val="20"/>
                <w:szCs w:val="20"/>
                <w:color w:val="auto"/>
              </w:rPr>
            </w:pPr>
            <w:r>
              <w:rPr>
                <w:rFonts w:ascii="Arial" w:cs="Arial" w:eastAsia="Arial" w:hAnsi="Arial"/>
                <w:sz w:val="11"/>
                <w:szCs w:val="11"/>
                <w:b w:val="1"/>
                <w:bCs w:val="1"/>
                <w:color w:val="auto"/>
                <w:w w:val="96"/>
              </w:rPr>
              <w:t>Stock,</w:t>
            </w:r>
          </w:p>
        </w:tc>
        <w:tc>
          <w:tcPr>
            <w:tcW w:w="960" w:type="dxa"/>
            <w:vAlign w:val="bottom"/>
            <w:gridSpan w:val="3"/>
            <w:vMerge w:val="restart"/>
          </w:tcPr>
          <w:p>
            <w:pPr>
              <w:jc w:val="center"/>
              <w:ind w:right="80"/>
              <w:spacing w:after="0" w:line="10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2"/>
                <w:szCs w:val="2"/>
                <w:color w:val="auto"/>
              </w:rPr>
            </w:pPr>
          </w:p>
        </w:tc>
        <w:tc>
          <w:tcPr>
            <w:tcW w:w="860" w:type="dxa"/>
            <w:vAlign w:val="bottom"/>
            <w:gridSpan w:val="2"/>
            <w:vMerge w:val="restart"/>
          </w:tcPr>
          <w:p>
            <w:pPr>
              <w:jc w:val="center"/>
              <w:ind w:right="200"/>
              <w:spacing w:after="0" w:line="107" w:lineRule="exact"/>
              <w:rPr>
                <w:sz w:val="20"/>
                <w:szCs w:val="20"/>
                <w:color w:val="auto"/>
              </w:rPr>
            </w:pPr>
            <w:r>
              <w:rPr>
                <w:rFonts w:ascii="Arial" w:cs="Arial" w:eastAsia="Arial" w:hAnsi="Arial"/>
                <w:sz w:val="11"/>
                <w:szCs w:val="11"/>
                <w:b w:val="1"/>
                <w:bCs w:val="1"/>
                <w:color w:val="auto"/>
              </w:rPr>
              <w:t>Interests -</w:t>
            </w:r>
          </w:p>
        </w:tc>
        <w:tc>
          <w:tcPr>
            <w:tcW w:w="940" w:type="dxa"/>
            <w:vAlign w:val="bottom"/>
            <w:gridSpan w:val="2"/>
            <w:vMerge w:val="restart"/>
          </w:tcPr>
          <w:p>
            <w:pPr>
              <w:jc w:val="center"/>
              <w:ind w:right="80"/>
              <w:spacing w:after="0" w:line="107" w:lineRule="exact"/>
              <w:rPr>
                <w:sz w:val="20"/>
                <w:szCs w:val="20"/>
                <w:color w:val="auto"/>
              </w:rPr>
            </w:pPr>
            <w:r>
              <w:rPr>
                <w:rFonts w:ascii="Arial" w:cs="Arial" w:eastAsia="Arial" w:hAnsi="Arial"/>
                <w:sz w:val="11"/>
                <w:szCs w:val="11"/>
                <w:b w:val="1"/>
                <w:bCs w:val="1"/>
                <w:color w:val="auto"/>
              </w:rPr>
              <w:t>Property</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120" w:type="dxa"/>
            <w:vAlign w:val="bottom"/>
          </w:tcPr>
          <w:p>
            <w:pPr>
              <w:spacing w:after="0"/>
              <w:rPr>
                <w:sz w:val="5"/>
                <w:szCs w:val="5"/>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Stock</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Capital</w:t>
            </w:r>
          </w:p>
        </w:tc>
        <w:tc>
          <w:tcPr>
            <w:tcW w:w="8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at cost</w:t>
            </w:r>
          </w:p>
        </w:tc>
        <w:tc>
          <w:tcPr>
            <w:tcW w:w="8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0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9"/>
              </w:rPr>
              <w:t>Common Units</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Partnerships</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December 31,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154,790</w:t>
            </w: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1,548</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  200,000</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$ 6,294,719</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(760,523)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(48,335)</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600,860</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1,728,689</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$ 8,014,236</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Cumulative effect of a change in accounting principle</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51"/>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Redemption of operating partnership units to common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29,689</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(29,698)</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Allocated net income for the period</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872,727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97,704</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48,260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1,018,691</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Dividends/distributions declared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(620,352)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(68,921)</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(689,273)</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Shares issued pursuant to stock purchase plan</w:t>
            </w: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759</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activity from stock option and incentive plan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39,318</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48,621</w:t>
            </w:r>
          </w:p>
        </w:tc>
        <w:tc>
          <w:tcPr>
            <w:tcW w:w="0" w:type="dxa"/>
            <w:vAlign w:val="bottom"/>
          </w:tcPr>
          <w:p>
            <w:pPr>
              <w:spacing w:after="0"/>
              <w:rPr>
                <w:sz w:val="1"/>
                <w:szCs w:val="1"/>
                <w:color w:val="auto"/>
              </w:rPr>
            </w:pPr>
          </w:p>
        </w:tc>
      </w:tr>
      <w:tr>
        <w:trPr>
          <w:trHeight w:val="146"/>
        </w:trPr>
        <w:tc>
          <w:tcPr>
            <w:tcW w:w="3120" w:type="dxa"/>
            <w:vAlign w:val="bottom"/>
          </w:tcPr>
          <w:p>
            <w:pPr>
              <w:ind w:left="20"/>
              <w:spacing w:after="0" w:line="147" w:lineRule="exact"/>
              <w:rPr>
                <w:sz w:val="20"/>
                <w:szCs w:val="20"/>
                <w:color w:val="auto"/>
              </w:rPr>
            </w:pPr>
            <w:r>
              <w:rPr>
                <w:rFonts w:ascii="Arial" w:cs="Arial" w:eastAsia="Arial" w:hAnsi="Arial"/>
                <w:sz w:val="13"/>
                <w:szCs w:val="13"/>
                <w:color w:val="auto"/>
                <w:w w:val="99"/>
              </w:rPr>
              <w:t>Contributions from noncontrolling interests in property</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8,219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8,219</w:t>
            </w:r>
          </w:p>
        </w:tc>
        <w:tc>
          <w:tcPr>
            <w:tcW w:w="0" w:type="dxa"/>
            <w:vAlign w:val="bottom"/>
          </w:tcPr>
          <w:p>
            <w:pPr>
              <w:spacing w:after="0"/>
              <w:rPr>
                <w:sz w:val="1"/>
                <w:szCs w:val="1"/>
                <w:color w:val="auto"/>
              </w:rPr>
            </w:pPr>
          </w:p>
        </w:tc>
      </w:tr>
      <w:tr>
        <w:trPr>
          <w:trHeight w:val="150"/>
        </w:trPr>
        <w:tc>
          <w:tcPr>
            <w:tcW w:w="3120" w:type="dxa"/>
            <w:vAlign w:val="bottom"/>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Distributions to noncontrolling interests in property</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(58,811)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(58,811)</w:t>
            </w: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Effective portion of interest rate contracts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(7,066)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(782)</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(7,848)</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interest rate contracts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6,697</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Reallocation of noncontrolling interest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22,321</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(22,321)</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155,719</w:t>
            </w: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6,356,791</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(509,653)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(49,890)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616,596</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1,726,933</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8,339,612</w:t>
            </w:r>
          </w:p>
        </w:tc>
        <w:tc>
          <w:tcPr>
            <w:tcW w:w="0" w:type="dxa"/>
            <w:vAlign w:val="bottom"/>
          </w:tcPr>
          <w:p>
            <w:pPr>
              <w:spacing w:after="0"/>
              <w:rPr>
                <w:sz w:val="1"/>
                <w:szCs w:val="1"/>
                <w:color w:val="auto"/>
              </w:rPr>
            </w:pPr>
          </w:p>
        </w:tc>
      </w:tr>
      <w:tr>
        <w:trPr>
          <w:trHeight w:val="146"/>
        </w:trPr>
        <w:tc>
          <w:tcPr>
            <w:tcW w:w="3120" w:type="dxa"/>
            <w:vAlign w:val="bottom"/>
          </w:tcPr>
          <w:p>
            <w:pPr>
              <w:ind w:left="20"/>
              <w:spacing w:after="0" w:line="147" w:lineRule="exact"/>
              <w:rPr>
                <w:sz w:val="20"/>
                <w:szCs w:val="20"/>
                <w:color w:val="auto"/>
              </w:rPr>
            </w:pPr>
            <w:r>
              <w:rPr>
                <w:rFonts w:ascii="Arial" w:cs="Arial" w:eastAsia="Arial" w:hAnsi="Arial"/>
                <w:sz w:val="13"/>
                <w:szCs w:val="13"/>
                <w:color w:val="auto"/>
                <w:w w:val="99"/>
              </w:rPr>
              <w:t>Redemption of operating partnership units to common</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524</w:t>
            </w:r>
          </w:p>
        </w:tc>
        <w:tc>
          <w:tcPr>
            <w:tcW w:w="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18,381</w:t>
            </w: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(18,386)</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3120" w:type="dxa"/>
            <w:vAlign w:val="bottom"/>
          </w:tcPr>
          <w:p>
            <w:pPr>
              <w:ind w:left="20"/>
              <w:spacing w:after="0"/>
              <w:rPr>
                <w:sz w:val="20"/>
                <w:szCs w:val="20"/>
                <w:color w:val="auto"/>
              </w:rPr>
            </w:pPr>
            <w:r>
              <w:rPr>
                <w:rFonts w:ascii="Arial" w:cs="Arial" w:eastAsia="Arial" w:hAnsi="Arial"/>
                <w:sz w:val="13"/>
                <w:szCs w:val="13"/>
                <w:color w:val="auto"/>
              </w:rPr>
              <w:t>stock</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Allocated net income for the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505,195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55,931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70,806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631,932</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Dividends/distributions declared</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(615,021)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(68,822)</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(683,843)</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3"/>
                <w:szCs w:val="13"/>
                <w:color w:val="auto"/>
              </w:rPr>
              <w:t>293</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25,607</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45,773</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71,383</w:t>
            </w:r>
          </w:p>
        </w:tc>
        <w:tc>
          <w:tcPr>
            <w:tcW w:w="0" w:type="dxa"/>
            <w:vAlign w:val="bottom"/>
          </w:tcPr>
          <w:p>
            <w:pPr>
              <w:spacing w:after="0"/>
              <w:rPr>
                <w:sz w:val="1"/>
                <w:szCs w:val="1"/>
                <w:color w:val="auto"/>
              </w:rPr>
            </w:pPr>
          </w:p>
        </w:tc>
      </w:tr>
      <w:tr>
        <w:trPr>
          <w:trHeight w:val="151"/>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operating partnership units for 360 Park</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99,689</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99,689</w:t>
            </w: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Avenue South</w:t>
            </w: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Preferred stock redemption</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6,377</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(193,623)</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redemption charge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(6,412)</w:t>
            </w:r>
          </w:p>
        </w:tc>
        <w:tc>
          <w:tcPr>
            <w:tcW w:w="0" w:type="dxa"/>
            <w:vAlign w:val="bottom"/>
          </w:tcPr>
          <w:p>
            <w:pPr>
              <w:spacing w:after="0"/>
              <w:rPr>
                <w:sz w:val="1"/>
                <w:szCs w:val="1"/>
                <w:color w:val="auto"/>
              </w:rPr>
            </w:pPr>
          </w:p>
        </w:tc>
      </w:tr>
      <w:tr>
        <w:trPr>
          <w:trHeight w:val="146"/>
        </w:trPr>
        <w:tc>
          <w:tcPr>
            <w:tcW w:w="3120" w:type="dxa"/>
            <w:vAlign w:val="bottom"/>
          </w:tcPr>
          <w:p>
            <w:pPr>
              <w:ind w:left="20"/>
              <w:spacing w:after="0" w:line="147" w:lineRule="exact"/>
              <w:rPr>
                <w:sz w:val="20"/>
                <w:szCs w:val="20"/>
                <w:color w:val="auto"/>
              </w:rPr>
            </w:pPr>
            <w:r>
              <w:rPr>
                <w:rFonts w:ascii="Arial" w:cs="Arial" w:eastAsia="Arial" w:hAnsi="Arial"/>
                <w:sz w:val="13"/>
                <w:szCs w:val="13"/>
                <w:color w:val="auto"/>
                <w:w w:val="99"/>
              </w:rPr>
              <w:t>Contributions from noncontrolling interests in property</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18,002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18,002</w:t>
            </w:r>
          </w:p>
        </w:tc>
        <w:tc>
          <w:tcPr>
            <w:tcW w:w="0" w:type="dxa"/>
            <w:vAlign w:val="bottom"/>
          </w:tcPr>
          <w:p>
            <w:pPr>
              <w:spacing w:after="0"/>
              <w:rPr>
                <w:sz w:val="1"/>
                <w:szCs w:val="1"/>
                <w:color w:val="auto"/>
              </w:rPr>
            </w:pPr>
          </w:p>
        </w:tc>
      </w:tr>
      <w:tr>
        <w:trPr>
          <w:trHeight w:val="150"/>
        </w:trPr>
        <w:tc>
          <w:tcPr>
            <w:tcW w:w="3120" w:type="dxa"/>
            <w:vAlign w:val="bottom"/>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Distributions to noncontrolling interests in property</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(259,764)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(259,764)</w:t>
            </w: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Effective portion of interest rate contracts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8,544</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interest rate contracts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6,704</w:t>
            </w:r>
          </w:p>
        </w:tc>
        <w:tc>
          <w:tcPr>
            <w:tcW w:w="0" w:type="dxa"/>
            <w:vAlign w:val="bottom"/>
          </w:tcPr>
          <w:p>
            <w:pPr>
              <w:spacing w:after="0"/>
              <w:rPr>
                <w:sz w:val="1"/>
                <w:szCs w:val="1"/>
                <w:color w:val="auto"/>
              </w:rPr>
            </w:pPr>
          </w:p>
        </w:tc>
      </w:tr>
      <w:tr>
        <w:trPr>
          <w:trHeight w:val="17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Reallocation of noncontrolling interest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89,570</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(89,570)</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156,545</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6,497,730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(625,891)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642,655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1,556,553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8,033,228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BOSTON PROPERTIES,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EQUITY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130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Additional</w:t>
            </w: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Dividends in</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Accumulated</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9"/>
              </w:rPr>
              <w:t>Noncontrolling</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Noncontrolling</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5"/>
              </w:rPr>
              <w:t>Other</w:t>
            </w:r>
          </w:p>
        </w:tc>
        <w:tc>
          <w:tcPr>
            <w:tcW w:w="1000" w:type="dxa"/>
            <w:vAlign w:val="bottom"/>
            <w:gridSpan w:val="3"/>
            <w:vMerge w:val="continue"/>
          </w:tcPr>
          <w:p>
            <w:pPr>
              <w:spacing w:after="0"/>
              <w:rPr>
                <w:sz w:val="9"/>
                <w:szCs w:val="9"/>
                <w:color w:val="auto"/>
              </w:rPr>
            </w:pPr>
          </w:p>
        </w:tc>
        <w:tc>
          <w:tcPr>
            <w:tcW w:w="94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Interests -</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Preferred</w:t>
            </w:r>
          </w:p>
        </w:tc>
        <w:tc>
          <w:tcPr>
            <w:tcW w:w="800" w:type="dxa"/>
            <w:vAlign w:val="bottom"/>
            <w:gridSpan w:val="2"/>
            <w:vMerge w:val="restart"/>
          </w:tcPr>
          <w:p>
            <w:pPr>
              <w:jc w:val="center"/>
              <w:ind w:right="80"/>
              <w:spacing w:after="0" w:line="119" w:lineRule="exact"/>
              <w:rPr>
                <w:sz w:val="20"/>
                <w:szCs w:val="20"/>
                <w:color w:val="auto"/>
              </w:rPr>
            </w:pPr>
            <w:r>
              <w:rPr>
                <w:rFonts w:ascii="Arial" w:cs="Arial" w:eastAsia="Arial" w:hAnsi="Arial"/>
                <w:sz w:val="11"/>
                <w:szCs w:val="11"/>
                <w:b w:val="1"/>
                <w:bCs w:val="1"/>
                <w:color w:val="auto"/>
                <w:w w:val="98"/>
              </w:rPr>
              <w:t>Paid-in</w:t>
            </w:r>
          </w:p>
        </w:tc>
        <w:tc>
          <w:tcPr>
            <w:tcW w:w="800" w:type="dxa"/>
            <w:vAlign w:val="bottom"/>
            <w:gridSpan w:val="2"/>
            <w:vMerge w:val="restart"/>
          </w:tcPr>
          <w:p>
            <w:pPr>
              <w:jc w:val="center"/>
              <w:ind w:right="80"/>
              <w:spacing w:after="0" w:line="119" w:lineRule="exact"/>
              <w:rPr>
                <w:sz w:val="20"/>
                <w:szCs w:val="20"/>
                <w:color w:val="auto"/>
              </w:rPr>
            </w:pPr>
            <w:r>
              <w:rPr>
                <w:rFonts w:ascii="Arial" w:cs="Arial" w:eastAsia="Arial" w:hAnsi="Arial"/>
                <w:sz w:val="11"/>
                <w:szCs w:val="11"/>
                <w:b w:val="1"/>
                <w:bCs w:val="1"/>
                <w:color w:val="auto"/>
              </w:rPr>
              <w:t>Excess of</w:t>
            </w:r>
          </w:p>
        </w:tc>
        <w:tc>
          <w:tcPr>
            <w:tcW w:w="100" w:type="dxa"/>
            <w:vAlign w:val="bottom"/>
          </w:tcPr>
          <w:p>
            <w:pPr>
              <w:spacing w:after="0"/>
              <w:rPr>
                <w:sz w:val="3"/>
                <w:szCs w:val="3"/>
                <w:color w:val="auto"/>
              </w:rPr>
            </w:pPr>
          </w:p>
        </w:tc>
        <w:tc>
          <w:tcPr>
            <w:tcW w:w="660" w:type="dxa"/>
            <w:vAlign w:val="bottom"/>
            <w:gridSpan w:val="2"/>
            <w:vMerge w:val="restart"/>
          </w:tcPr>
          <w:p>
            <w:pPr>
              <w:jc w:val="center"/>
              <w:ind w:right="180"/>
              <w:spacing w:after="0" w:line="119" w:lineRule="exact"/>
              <w:rPr>
                <w:sz w:val="20"/>
                <w:szCs w:val="20"/>
                <w:color w:val="auto"/>
              </w:rPr>
            </w:pPr>
            <w:r>
              <w:rPr>
                <w:rFonts w:ascii="Arial" w:cs="Arial" w:eastAsia="Arial" w:hAnsi="Arial"/>
                <w:sz w:val="11"/>
                <w:szCs w:val="11"/>
                <w:b w:val="1"/>
                <w:bCs w:val="1"/>
                <w:color w:val="auto"/>
                <w:w w:val="96"/>
              </w:rPr>
              <w:t>Stock,</w:t>
            </w:r>
          </w:p>
        </w:tc>
        <w:tc>
          <w:tcPr>
            <w:tcW w:w="960" w:type="dxa"/>
            <w:vAlign w:val="bottom"/>
            <w:gridSpan w:val="3"/>
            <w:vMerge w:val="restart"/>
          </w:tcPr>
          <w:p>
            <w:pPr>
              <w:jc w:val="center"/>
              <w:ind w:right="80"/>
              <w:spacing w:after="0" w:line="119"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3"/>
                <w:szCs w:val="3"/>
                <w:color w:val="auto"/>
              </w:rPr>
            </w:pPr>
          </w:p>
        </w:tc>
        <w:tc>
          <w:tcPr>
            <w:tcW w:w="860" w:type="dxa"/>
            <w:vAlign w:val="bottom"/>
            <w:gridSpan w:val="2"/>
            <w:vMerge w:val="restart"/>
          </w:tcPr>
          <w:p>
            <w:pPr>
              <w:jc w:val="center"/>
              <w:ind w:right="200"/>
              <w:spacing w:after="0" w:line="119" w:lineRule="exact"/>
              <w:rPr>
                <w:sz w:val="20"/>
                <w:szCs w:val="20"/>
                <w:color w:val="auto"/>
              </w:rPr>
            </w:pPr>
            <w:r>
              <w:rPr>
                <w:rFonts w:ascii="Arial" w:cs="Arial" w:eastAsia="Arial" w:hAnsi="Arial"/>
                <w:sz w:val="11"/>
                <w:szCs w:val="11"/>
                <w:b w:val="1"/>
                <w:bCs w:val="1"/>
                <w:color w:val="auto"/>
              </w:rPr>
              <w:t>Interests -</w:t>
            </w:r>
          </w:p>
        </w:tc>
        <w:tc>
          <w:tcPr>
            <w:tcW w:w="940" w:type="dxa"/>
            <w:vAlign w:val="bottom"/>
            <w:gridSpan w:val="2"/>
            <w:vMerge w:val="restart"/>
          </w:tcPr>
          <w:p>
            <w:pPr>
              <w:jc w:val="center"/>
              <w:ind w:right="80"/>
              <w:spacing w:after="0" w:line="119" w:lineRule="exact"/>
              <w:rPr>
                <w:sz w:val="20"/>
                <w:szCs w:val="20"/>
                <w:color w:val="auto"/>
              </w:rPr>
            </w:pPr>
            <w:r>
              <w:rPr>
                <w:rFonts w:ascii="Arial" w:cs="Arial" w:eastAsia="Arial" w:hAnsi="Arial"/>
                <w:sz w:val="11"/>
                <w:szCs w:val="11"/>
                <w:b w:val="1"/>
                <w:bCs w:val="1"/>
                <w:color w:val="auto"/>
              </w:rPr>
              <w:t>Property</w:t>
            </w: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3120" w:type="dxa"/>
            <w:vAlign w:val="bottom"/>
          </w:tcPr>
          <w:p>
            <w:pPr>
              <w:spacing w:after="0"/>
              <w:rPr>
                <w:sz w:val="5"/>
                <w:szCs w:val="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5"/>
                <w:szCs w:val="5"/>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Amount</w:t>
            </w:r>
          </w:p>
        </w:tc>
        <w:tc>
          <w:tcPr>
            <w:tcW w:w="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rPr>
              <w:t>at cost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rPr>
              <w:t>Loss</w:t>
            </w:r>
          </w:p>
        </w:tc>
        <w:tc>
          <w:tcPr>
            <w:tcW w:w="60" w:type="dxa"/>
            <w:vAlign w:val="bottom"/>
          </w:tcPr>
          <w:p>
            <w:pPr>
              <w:spacing w:after="0"/>
              <w:rPr>
                <w:sz w:val="12"/>
                <w:szCs w:val="1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Common Units</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Partnerships</w:t>
            </w:r>
          </w:p>
        </w:tc>
        <w:tc>
          <w:tcPr>
            <w:tcW w:w="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20" w:type="dxa"/>
            <w:vAlign w:val="bottom"/>
          </w:tcPr>
          <w:p>
            <w:pPr>
              <w:ind w:left="20"/>
              <w:spacing w:after="0" w:line="134" w:lineRule="exact"/>
              <w:rPr>
                <w:sz w:val="20"/>
                <w:szCs w:val="20"/>
                <w:color w:val="auto"/>
              </w:rPr>
            </w:pPr>
            <w:r>
              <w:rPr>
                <w:rFonts w:ascii="Arial" w:cs="Arial" w:eastAsia="Arial" w:hAnsi="Arial"/>
                <w:sz w:val="13"/>
                <w:szCs w:val="13"/>
                <w:color w:val="auto"/>
                <w:w w:val="99"/>
              </w:rPr>
              <w:t>Redemption of operating partnership units to common</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182</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6,536</w:t>
            </w:r>
          </w:p>
        </w:tc>
        <w:tc>
          <w:tcPr>
            <w:tcW w:w="8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(6,539)</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3120" w:type="dxa"/>
            <w:vAlign w:val="bottom"/>
          </w:tcPr>
          <w:p>
            <w:pPr>
              <w:ind w:left="20"/>
              <w:spacing w:after="0"/>
              <w:rPr>
                <w:sz w:val="20"/>
                <w:szCs w:val="20"/>
                <w:color w:val="auto"/>
              </w:rPr>
            </w:pPr>
            <w:r>
              <w:rPr>
                <w:rFonts w:ascii="Arial" w:cs="Arial" w:eastAsia="Arial" w:hAnsi="Arial"/>
                <w:sz w:val="13"/>
                <w:szCs w:val="13"/>
                <w:color w:val="auto"/>
              </w:rPr>
              <w:t>stock</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Allocated net income for the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848,947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96,780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74,857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1,020,584</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Dividends/distributions declared</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(614,412)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(71,714)</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(686,126)</w:t>
            </w: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7,261</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46,402</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53,663</w:t>
            </w:r>
          </w:p>
        </w:tc>
        <w:tc>
          <w:tcPr>
            <w:tcW w:w="0" w:type="dxa"/>
            <w:vAlign w:val="bottom"/>
          </w:tcPr>
          <w:p>
            <w:pPr>
              <w:spacing w:after="0"/>
              <w:rPr>
                <w:sz w:val="1"/>
                <w:szCs w:val="1"/>
                <w:color w:val="auto"/>
              </w:rPr>
            </w:pPr>
          </w:p>
        </w:tc>
      </w:tr>
      <w:tr>
        <w:trPr>
          <w:trHeight w:val="151"/>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Contributions from noncontrolling interests in property</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0" w:type="dxa"/>
            <w:vAlign w:val="bottom"/>
          </w:tcPr>
          <w:p>
            <w:pPr>
              <w:spacing w:after="0"/>
              <w:rPr>
                <w:sz w:val="1"/>
                <w:szCs w:val="1"/>
                <w:color w:val="auto"/>
              </w:rPr>
            </w:pPr>
          </w:p>
        </w:tc>
      </w:tr>
      <w:tr>
        <w:trPr>
          <w:trHeight w:val="150"/>
        </w:trPr>
        <w:tc>
          <w:tcPr>
            <w:tcW w:w="3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tcPr>
          <w:p>
            <w:pPr>
              <w:ind w:left="20"/>
              <w:spacing w:after="0" w:line="147" w:lineRule="exact"/>
              <w:rPr>
                <w:sz w:val="20"/>
                <w:szCs w:val="20"/>
                <w:color w:val="auto"/>
              </w:rPr>
            </w:pPr>
            <w:r>
              <w:rPr>
                <w:rFonts w:ascii="Arial" w:cs="Arial" w:eastAsia="Arial" w:hAnsi="Arial"/>
                <w:sz w:val="13"/>
                <w:szCs w:val="13"/>
                <w:color w:val="auto"/>
              </w:rPr>
              <w:t>Distributions to noncontrolling interests in property</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(85,518)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(85,518)</w:t>
            </w:r>
          </w:p>
        </w:tc>
        <w:tc>
          <w:tcPr>
            <w:tcW w:w="0" w:type="dxa"/>
            <w:vAlign w:val="bottom"/>
          </w:tcPr>
          <w:p>
            <w:pPr>
              <w:spacing w:after="0"/>
              <w:rPr>
                <w:sz w:val="1"/>
                <w:szCs w:val="1"/>
                <w:color w:val="auto"/>
              </w:rPr>
            </w:pPr>
          </w:p>
        </w:tc>
      </w:tr>
      <w:tr>
        <w:trPr>
          <w:trHeight w:val="150"/>
        </w:trPr>
        <w:tc>
          <w:tcPr>
            <w:tcW w:w="3120" w:type="dxa"/>
            <w:vAlign w:val="bottom"/>
          </w:tcPr>
          <w:p>
            <w:pPr>
              <w:ind w:left="80"/>
              <w:spacing w:after="0"/>
              <w:rPr>
                <w:sz w:val="20"/>
                <w:szCs w:val="20"/>
                <w:color w:val="auto"/>
              </w:rPr>
            </w:pPr>
            <w:r>
              <w:rPr>
                <w:rFonts w:ascii="Arial" w:cs="Arial" w:eastAsia="Arial" w:hAnsi="Arial"/>
                <w:sz w:val="13"/>
                <w:szCs w:val="13"/>
                <w:color w:val="auto"/>
              </w:rPr>
              <w:t>partnerships</w:t>
            </w:r>
          </w:p>
        </w:tc>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portion of interest rate contracts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19,396</w:t>
            </w:r>
          </w:p>
        </w:tc>
        <w:tc>
          <w:tcPr>
            <w:tcW w:w="0" w:type="dxa"/>
            <w:vAlign w:val="bottom"/>
          </w:tcPr>
          <w:p>
            <w:pPr>
              <w:spacing w:after="0"/>
              <w:rPr>
                <w:sz w:val="1"/>
                <w:szCs w:val="1"/>
                <w:color w:val="auto"/>
              </w:rPr>
            </w:pPr>
          </w:p>
        </w:tc>
      </w:tr>
      <w:tr>
        <w:trPr>
          <w:trHeight w:val="173"/>
        </w:trPr>
        <w:tc>
          <w:tcPr>
            <w:tcW w:w="3120" w:type="dxa"/>
            <w:vAlign w:val="bottom"/>
          </w:tcPr>
          <w:p>
            <w:pPr>
              <w:ind w:left="20"/>
              <w:spacing w:after="0"/>
              <w:rPr>
                <w:sz w:val="20"/>
                <w:szCs w:val="20"/>
                <w:color w:val="auto"/>
              </w:rPr>
            </w:pPr>
            <w:r>
              <w:rPr>
                <w:rFonts w:ascii="Arial" w:cs="Arial" w:eastAsia="Arial" w:hAnsi="Arial"/>
                <w:sz w:val="13"/>
                <w:szCs w:val="13"/>
                <w:color w:val="auto"/>
              </w:rPr>
              <w:t>Amortization of interest rate contracts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5,509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622</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6,707</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Reallocation of noncontrolling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26,584</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(26,584)</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Arial" w:cs="Arial" w:eastAsia="Arial" w:hAnsi="Arial"/>
                <w:sz w:val="13"/>
                <w:szCs w:val="13"/>
                <w:color w:val="auto"/>
              </w:rPr>
              <w:t>Equity, December 31, 2022</w:t>
            </w:r>
          </w:p>
        </w:tc>
        <w:tc>
          <w:tcPr>
            <w:tcW w:w="580" w:type="dxa"/>
            <w:vAlign w:val="bottom"/>
          </w:tcPr>
          <w:p>
            <w:pPr>
              <w:jc w:val="right"/>
              <w:spacing w:after="0"/>
              <w:rPr>
                <w:sz w:val="20"/>
                <w:szCs w:val="20"/>
                <w:color w:val="auto"/>
              </w:rPr>
            </w:pPr>
            <w:r>
              <w:rPr>
                <w:rFonts w:ascii="Arial" w:cs="Arial" w:eastAsia="Arial" w:hAnsi="Arial"/>
                <w:sz w:val="13"/>
                <w:szCs w:val="13"/>
                <w:color w:val="auto"/>
              </w:rPr>
              <w:t>156,758</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  1,568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3"/>
              </w:rPr>
              <w:t>$ 6,539,147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 (391,356)</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(2,722)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(13,718)</w:t>
            </w:r>
          </w:p>
        </w:tc>
        <w:tc>
          <w:tcPr>
            <w:tcW w:w="60" w:type="dxa"/>
            <w:vAlign w:val="bottom"/>
          </w:tcPr>
          <w:p>
            <w:pPr>
              <w:spacing w:after="0"/>
              <w:rPr>
                <w:sz w:val="14"/>
                <w:szCs w:val="14"/>
                <w:color w:val="auto"/>
              </w:rPr>
            </w:pPr>
          </w:p>
        </w:tc>
        <w:tc>
          <w:tcPr>
            <w:tcW w:w="140" w:type="dxa"/>
            <w:vAlign w:val="bottom"/>
          </w:tcPr>
          <w:p>
            <w:pPr>
              <w:jc w:val="right"/>
              <w:ind w:right="2"/>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683,583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   1,547,317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6"/>
              </w:rPr>
              <w:t>$ 8,363,819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2"/>
        </w:trPr>
        <w:tc>
          <w:tcPr>
            <w:tcW w:w="7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1,020,584</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631,932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1,018,691</w:t>
            </w:r>
          </w:p>
        </w:tc>
      </w:tr>
      <w:tr>
        <w:trPr>
          <w:trHeight w:val="192"/>
        </w:trPr>
        <w:tc>
          <w:tcPr>
            <w:tcW w:w="7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749,775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717,336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683,751</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Amortization of right of use assets - operating leases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Non-cash compensation expense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52,026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50,860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44,142</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85,110</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Distributions of net cash flow from operations of unconsolidated joint ventures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21,542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31,892</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Losses (gains) from investments in securities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Allowance for current expected credit losses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1,849</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Non-cash portion of 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23,384</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Settlement of accreted debt discount on redemption of unsecured senior notes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Losses from early extinguishments of debt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Other income - assignment fee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(6,624)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on sales of real estate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(437,019)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(618,982)</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Gain on sales-type lease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(10,058)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Unrealized loss on non-real estate investment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Change in assets and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and other receivables,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Notes receivable,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rental income,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(101,548)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(97,099)</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20,099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12,488</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Lease liabilities - finance leases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Lease liabilities - operating leases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(10,839)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16,211</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17,629</w:t>
            </w:r>
          </w:p>
        </w:tc>
      </w:tr>
      <w:tr>
        <w:trPr>
          <w:trHeight w:val="187"/>
        </w:trPr>
        <w:tc>
          <w:tcPr>
            <w:tcW w:w="762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Tenant leasing costs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(84,057)</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(62,850)</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(79,772)</w:t>
            </w:r>
          </w:p>
        </w:tc>
      </w:tr>
      <w:tr>
        <w:trPr>
          <w:trHeight w:val="184"/>
        </w:trPr>
        <w:tc>
          <w:tcPr>
            <w:tcW w:w="7620" w:type="dxa"/>
            <w:vAlign w:val="bottom"/>
            <w:shd w:val="clear" w:color="auto" w:fill="CCEEFF"/>
          </w:tcPr>
          <w:p>
            <w:pPr>
              <w:ind w:left="980"/>
              <w:spacing w:after="0"/>
              <w:rPr>
                <w:sz w:val="20"/>
                <w:szCs w:val="20"/>
                <w:color w:val="auto"/>
              </w:rPr>
            </w:pPr>
            <w:r>
              <w:rPr>
                <w:rFonts w:ascii="Arial" w:cs="Arial" w:eastAsia="Arial" w:hAnsi="Arial"/>
                <w:sz w:val="14"/>
                <w:szCs w:val="14"/>
                <w:color w:val="auto"/>
              </w:rPr>
              <w:t>Total adjustments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261,815</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501,295</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138,149</w:t>
            </w:r>
          </w:p>
        </w:tc>
      </w:tr>
      <w:tr>
        <w:trPr>
          <w:trHeight w:val="179"/>
        </w:trPr>
        <w:tc>
          <w:tcPr>
            <w:tcW w:w="762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1,282,399</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1,133,227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1,156,840</w:t>
            </w:r>
          </w:p>
        </w:tc>
      </w:tr>
      <w:tr>
        <w:trPr>
          <w:trHeight w:val="17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Acquisitions of real estate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(1,320,273)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(222,260)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(137,976)</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Construction in progress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(500,273)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(513,878)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(482,507)</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Building and other capital improvements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(177,004)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(150,998)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(160,126)</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improvements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(218,685)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(263,952)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(234,423)</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Proceeds from sales of real estate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834,770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179,887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519,303</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Proceeds from assignment fee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Capital contributions to unconsolidated joint ventures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(277,581)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(98,152)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(172,436)</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Capital distributions from unconsolidated joint ventures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55,298</w:t>
            </w:r>
          </w:p>
        </w:tc>
      </w:tr>
      <w:tr>
        <w:trPr>
          <w:trHeight w:val="187"/>
        </w:trPr>
        <w:tc>
          <w:tcPr>
            <w:tcW w:w="7620" w:type="dxa"/>
            <w:vAlign w:val="bottom"/>
          </w:tcPr>
          <w:p>
            <w:pPr>
              <w:ind w:left="580"/>
              <w:spacing w:after="0"/>
              <w:rPr>
                <w:sz w:val="20"/>
                <w:szCs w:val="20"/>
                <w:color w:val="auto"/>
              </w:rPr>
            </w:pPr>
            <w:r>
              <w:rPr>
                <w:rFonts w:ascii="Arial" w:cs="Arial" w:eastAsia="Arial" w:hAnsi="Arial"/>
                <w:sz w:val="14"/>
                <w:szCs w:val="14"/>
                <w:color w:val="auto"/>
              </w:rPr>
              <w:t>Proceeds from sale of investment in unconsolidated joint venture</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17,789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Investments in non-real estate investments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620" w:type="dxa"/>
            <w:vAlign w:val="bottom"/>
          </w:tcPr>
          <w:p>
            <w:pPr>
              <w:ind w:left="580"/>
              <w:spacing w:after="0"/>
              <w:rPr>
                <w:sz w:val="20"/>
                <w:szCs w:val="20"/>
                <w:color w:val="auto"/>
              </w:rPr>
            </w:pPr>
            <w:r>
              <w:rPr>
                <w:rFonts w:ascii="Arial" w:cs="Arial" w:eastAsia="Arial" w:hAnsi="Arial"/>
                <w:sz w:val="14"/>
                <w:szCs w:val="14"/>
                <w:color w:val="auto"/>
              </w:rPr>
              <w:t>Issuance of notes receivable, net</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(9,800)</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2"/>
        </w:trPr>
        <w:tc>
          <w:tcPr>
            <w:tcW w:w="7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r>
      <w:tr>
        <w:trPr>
          <w:trHeight w:val="182"/>
        </w:trPr>
        <w:tc>
          <w:tcPr>
            <w:tcW w:w="76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Proceeds from notes receivable</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6,397</w:t>
            </w:r>
          </w:p>
        </w:tc>
      </w:tr>
      <w:tr>
        <w:trPr>
          <w:trHeight w:val="187"/>
        </w:trPr>
        <w:tc>
          <w:tcPr>
            <w:tcW w:w="762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Investments in securities, net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w:t>
            </w:r>
          </w:p>
        </w:tc>
      </w:tr>
      <w:tr>
        <w:trPr>
          <w:trHeight w:val="184"/>
        </w:trPr>
        <w:tc>
          <w:tcPr>
            <w:tcW w:w="762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(1,602,802)</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(1,039,956)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(613,719)</w:t>
            </w:r>
          </w:p>
        </w:tc>
      </w:tr>
      <w:tr>
        <w:trPr>
          <w:trHeight w:val="167"/>
        </w:trPr>
        <w:tc>
          <w:tcPr>
            <w:tcW w:w="76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mortgage notes payable</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1,201,388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Repayments of mortgage notes payable</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(832,296)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(17,168)</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senior notes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749,557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1,695,996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1,248,125</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Redemption of unsecured senior notes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(1,841,500)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unsecured line of credit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265,000</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Repayments of unsecured line of credit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(1,130,000)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(625,000)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(265,000)</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unsecured term loan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Redemption of preferred stock</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Payments on finance lease obligations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Repayment of unsecured term loan</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financing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(10,416)</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(16,186)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Debt prepayment and extinguishment costs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Net activity from equity transactions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24,214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3,277</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Dividends and distributions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(685,019)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(683,753)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(688,904)</w:t>
            </w: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Contributions from noncontrolling interests in property partnerships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18,002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8,219</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(85,518)</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(259,764)</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(58,811)</w:t>
            </w:r>
          </w:p>
        </w:tc>
      </w:tr>
      <w:tr>
        <w:trPr>
          <w:trHeight w:val="179"/>
        </w:trPr>
        <w:tc>
          <w:tcPr>
            <w:tcW w:w="762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556,057</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(1,311,442)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484,322</w:t>
            </w:r>
          </w:p>
        </w:tc>
      </w:tr>
      <w:tr>
        <w:trPr>
          <w:trHeight w:val="184"/>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and cash held in escrows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235,654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(1,218,171)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1,027,443</w:t>
            </w:r>
          </w:p>
        </w:tc>
      </w:tr>
      <w:tr>
        <w:trPr>
          <w:trHeight w:val="18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1,719,329</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691,886</w:t>
            </w:r>
          </w:p>
        </w:tc>
      </w:tr>
      <w:tr>
        <w:trPr>
          <w:trHeight w:val="20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736,812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1,719,329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0"/>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of cash and cash equivalents and cash held in escrows: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452,692</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1,668,742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644,950</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48,466</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50,587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46,936</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1,719,329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691,886</w:t>
            </w:r>
          </w:p>
        </w:tc>
      </w:tr>
      <w:tr>
        <w:trPr>
          <w:trHeight w:val="208"/>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7"/>
        </w:trPr>
        <w:tc>
          <w:tcPr>
            <w:tcW w:w="7620" w:type="dxa"/>
            <w:vAlign w:val="bottom"/>
          </w:tcPr>
          <w:p>
            <w:pPr>
              <w:ind w:left="300"/>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690,333</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452,692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1,668,742</w:t>
            </w: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end of period</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46,479</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48,466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50,587</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1,719,329</w:t>
            </w:r>
          </w:p>
        </w:tc>
      </w:tr>
      <w:tr>
        <w:trPr>
          <w:trHeight w:val="208"/>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7"/>
        </w:trPr>
        <w:tc>
          <w:tcPr>
            <w:tcW w:w="7620" w:type="dxa"/>
            <w:vAlign w:val="bottom"/>
          </w:tcPr>
          <w:p>
            <w:pPr>
              <w:ind w:left="20"/>
              <w:spacing w:after="0"/>
              <w:rPr>
                <w:sz w:val="20"/>
                <w:szCs w:val="20"/>
                <w:color w:val="auto"/>
              </w:rPr>
            </w:pPr>
            <w:r>
              <w:rPr>
                <w:rFonts w:ascii="Arial" w:cs="Arial" w:eastAsia="Arial" w:hAnsi="Arial"/>
                <w:sz w:val="14"/>
                <w:szCs w:val="14"/>
                <w:color w:val="auto"/>
              </w:rPr>
              <w:t>Supplemental disclosures: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449,903</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465,442</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433,492</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Interest capitalized</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52,130</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53,097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53,881</w:t>
            </w:r>
          </w:p>
        </w:tc>
      </w:tr>
      <w:tr>
        <w:trPr>
          <w:trHeight w:val="208"/>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7"/>
        </w:trPr>
        <w:tc>
          <w:tcPr>
            <w:tcW w:w="762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Write-off of fully depreciated real estate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(119,534)</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(239,317)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(99,494)</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Change in real estate included in accounts payable and accrued expenses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97,586</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(19,848)</w:t>
            </w:r>
          </w:p>
        </w:tc>
      </w:tr>
      <w:tr>
        <w:trPr>
          <w:trHeight w:val="181"/>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Construction in progress, net deconsolidated</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(11,316)</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(299,947)</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2"/>
        </w:trPr>
        <w:tc>
          <w:tcPr>
            <w:tcW w:w="7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r>
      <w:tr>
        <w:trPr>
          <w:trHeight w:val="180"/>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 in unconsolidated joint ventures recorded upon deconsolidation</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11,316</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107,132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347,898</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Sales-type lease origination</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13,045</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Derecognition of assets in exchange for sales-type lease obligation</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(2,987)</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rental income, net deconsolidated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Tenant leasing costs, net deconsolidated</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(3,462)</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Building and other capital improvements, net deconsolidated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(111,889)</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Tenant improvements, net deconsolidated</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(12,331)</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assets, net deconsolidated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Assumption of mortgage notes payable</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200,311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Mortgage notes payable, net deconsolidation</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(198,381)</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Issuance of operating partnership units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99,689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Right-of-use assets obtained in exchange for lease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Dividends and distributions declared but not paid</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170,643</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169,859</w:t>
            </w:r>
          </w:p>
        </w:tc>
        <w:tc>
          <w:tcPr>
            <w:tcW w:w="1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171,082</w:t>
            </w:r>
          </w:p>
        </w:tc>
      </w:tr>
      <w:tr>
        <w:trPr>
          <w:trHeight w:val="184"/>
        </w:trPr>
        <w:tc>
          <w:tcPr>
            <w:tcW w:w="7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Conversions of noncontrolling interests to stockholders’ equity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29,698</w:t>
            </w:r>
          </w:p>
        </w:tc>
      </w:tr>
      <w:tr>
        <w:trPr>
          <w:trHeight w:val="179"/>
        </w:trPr>
        <w:tc>
          <w:tcPr>
            <w:tcW w:w="7620" w:type="dxa"/>
            <w:vAlign w:val="bottom"/>
          </w:tcPr>
          <w:p>
            <w:pPr>
              <w:ind w:left="300"/>
              <w:spacing w:after="0"/>
              <w:rPr>
                <w:sz w:val="20"/>
                <w:szCs w:val="20"/>
                <w:color w:val="auto"/>
              </w:rPr>
            </w:pPr>
            <w:r>
              <w:rPr>
                <w:rFonts w:ascii="Arial" w:cs="Arial" w:eastAsia="Arial" w:hAnsi="Arial"/>
                <w:sz w:val="14"/>
                <w:szCs w:val="14"/>
                <w:color w:val="auto"/>
              </w:rPr>
              <w:t>Issuance of restricted securities to employees and non-employee directors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48,417</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44,405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Report on Internal Control over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Reporting</w:t>
      </w:r>
    </w:p>
    <w:p>
      <w:pPr>
        <w:spacing w:after="0" w:line="148"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Management of Boston Properties, Inc., the sole general partner of Boston Properties Limited Partnership, is responsible for establishing and maintaining adequate internal control over financial reporting for Boston Properties Limited Partnership. Boston Properties Limited Partnership’s internal control over financial reporting is a process designed under the supervision of the principal executive officer and principal financial officer of Boston Properties, Inc. to provide reasonable assurance regarding the reliability of financial reporting and the preparation of Boston Properties Limited Partnership’s financial statements for external reporting purposes in accordance with U.S. generally accepted accounting principles.</w:t>
      </w:r>
    </w:p>
    <w:p>
      <w:pPr>
        <w:spacing w:after="0" w:line="140"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As of the end of Boston Properties Limited Partnership’s 2022 fiscal year, management conducted assessments of the effectiveness of Boston Properties Limited Partnership’s internal control over financial reporting based on the framework established in Internal Control—Integrated Framework (2013) issued by the Committee of Sponsoring Organizations of the Treadway Commission (COSO). Based on these assessments, management has determined that Boston Properties Limited Partnership’s internal control over financial reporting as of December 31, 2022 was effective.</w:t>
      </w:r>
    </w:p>
    <w:p>
      <w:pPr>
        <w:spacing w:after="0" w:line="13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Boston Properties Limited Partnership’s internal control over financial reporting includes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Boston Properties, Inc.; and (3) provide reasonable assurance regarding prevention or timely detection of unauthorized acquisition, use or disposition of Boston Properties Limited Partnership’s assets that could have a material effect on our financial statements.</w:t>
      </w:r>
    </w:p>
    <w:p>
      <w:pPr>
        <w:spacing w:after="0" w:line="139" w:lineRule="exact"/>
        <w:rPr>
          <w:sz w:val="20"/>
          <w:szCs w:val="20"/>
          <w:color w:val="auto"/>
        </w:rPr>
      </w:pPr>
    </w:p>
    <w:p>
      <w:pPr>
        <w:ind w:right="160" w:firstLine="391"/>
        <w:spacing w:after="0" w:line="250" w:lineRule="auto"/>
        <w:rPr>
          <w:sz w:val="20"/>
          <w:szCs w:val="20"/>
          <w:color w:val="auto"/>
        </w:rPr>
      </w:pPr>
      <w:r>
        <w:rPr>
          <w:rFonts w:ascii="Arial" w:cs="Arial" w:eastAsia="Arial" w:hAnsi="Arial"/>
          <w:sz w:val="16"/>
          <w:szCs w:val="16"/>
          <w:color w:val="auto"/>
        </w:rPr>
        <w:t>The effectiveness of Boston Properties Limited Partnership’s internal control over financial reporting as of December 31, 2022 has been audited by PricewaterhouseCoopers LLP, an independent registered public accounting firm, as stated in its report appearing on page 120, which expresses an unqualified opinion on the effectiveness of Boston Properties Limited Partnership’s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To the Partners of Boston Properties Limited Partnership</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 xml:space="preserve">We have audited the accompanying consolidated balance sheets of Boston Properties Limited Partnership and its subsidiaries (the “Partnership”) as of December 31, 2022 and 2021, and the related consolidated statements of operations, of comprehensive income, of capital and noncontrolling interests and of cash flows for each of the three years in the period ended December 31, 2022, including the related notes and financial statement schedule listed in the accompanying index (collectively referred to as the “consolidated financial statements”). We also have audited the Partnership’s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3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Partnership as of December 31, 2022 and 2021</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results of its operations and its cash flows for each of the three years in the period ended December 31, 2022 in conformity with accounting principles generally accepted in the United States of America. Also in our opinion, the Partnership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right="260"/>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5" w:name="page126"/>
    <w:bookmarkEnd w:id="125"/>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180"/>
        <w:spacing w:after="0" w:line="253" w:lineRule="auto"/>
        <w:rPr>
          <w:sz w:val="20"/>
          <w:szCs w:val="20"/>
          <w:color w:val="auto"/>
        </w:rPr>
      </w:pPr>
      <w:r>
        <w:rPr>
          <w:rFonts w:ascii="Arial" w:cs="Arial" w:eastAsia="Arial" w:hAnsi="Arial"/>
          <w:sz w:val="16"/>
          <w:szCs w:val="16"/>
          <w:color w:val="auto"/>
        </w:rPr>
        <w:t>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left="5" w:right="180"/>
        <w:spacing w:after="0" w:line="25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6" w:lineRule="exact"/>
        <w:rPr>
          <w:sz w:val="20"/>
          <w:szCs w:val="20"/>
          <w:color w:val="auto"/>
        </w:rPr>
      </w:pPr>
    </w:p>
    <w:p>
      <w:pPr>
        <w:ind w:left="5"/>
        <w:spacing w:after="0" w:line="263"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jc w:val="both"/>
        <w:ind w:left="5" w:right="220" w:hanging="5"/>
        <w:spacing w:after="0" w:line="250" w:lineRule="auto"/>
        <w:tabs>
          <w:tab w:leader="none" w:pos="22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Assessment of Impairment Indicators of Long-Lived Assets and Investments in Unconsolidated Joint Ventures</w:t>
      </w:r>
    </w:p>
    <w:p>
      <w:pPr>
        <w:spacing w:after="0" w:line="164" w:lineRule="exact"/>
        <w:rPr>
          <w:sz w:val="20"/>
          <w:szCs w:val="20"/>
          <w:color w:val="auto"/>
        </w:rPr>
      </w:pPr>
    </w:p>
    <w:p>
      <w:pPr>
        <w:ind w:left="5"/>
        <w:spacing w:after="0" w:line="265" w:lineRule="auto"/>
        <w:rPr>
          <w:sz w:val="20"/>
          <w:szCs w:val="20"/>
          <w:color w:val="auto"/>
        </w:rPr>
      </w:pPr>
      <w:r>
        <w:rPr>
          <w:rFonts w:ascii="Arial" w:cs="Arial" w:eastAsia="Arial" w:hAnsi="Arial"/>
          <w:sz w:val="15"/>
          <w:szCs w:val="15"/>
          <w:color w:val="auto"/>
        </w:rPr>
        <w:t>As described in Notes 2, 3 and 6 to the consolidated financial statements, the Partnership’s total real estate balance was $19,246.5 million and its investments in unconsolidated joint ventures was $1,630.5 million as of December 31, 2022. During 2022, the Partnership recognized a $50.7 million other than temporary impairment related to an investment in an unconsolidated joint venture. 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more likely than not, a long-lived asset will be sold or otherwise disposed of significantly before the end of its previously estimated useful life or hold period. Management reviews its unconsolidated joint ventures for indicators of impairment on a quarterly basis and records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and market conditions. Management will record an impairment charge if it determines that a decline in the fair value below the carrying amount of an investment in an unconsolidated joint venture is other-than-temporary. The fair value of unconsolidated joint ventures is calculated using a discounted cash flow model which is subjective and considers assumptions regarding future occupancy, future rental rates, future capital requirements, discount rates, and capitalization rates.</w:t>
      </w:r>
    </w:p>
    <w:p>
      <w:pPr>
        <w:spacing w:after="0" w:line="132"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The principal considerations for our determination that performing procedures relating to the assessment of impairment indicators for long-lived assets and investments in unconsolidated joint ventures is a critical audit matter are (i) the significant judgment by management (a) in identifying the indicators of impairment for long-lived assets and investments in unconsolidated joint ventures and (b) when developing the fair value estimate of the investment in unconsolidated joint venture with an other- than- temporary impairment, (ii) a high degree of auditor judgment, subjectivity and effort in performing procedures and evaluating audit evidence related to (a) management's identification of the indicators of impairment related to the operating performance and anticipated hold periods for long-lived assets and the performance of each investment and market conditions for investments in unconsolidated joint ventures and (b) management’s assumptions related to future occupancy, future rental rates, future capital requirements, discount rate and capitalization rate (collectively referred to as “the significant fair value assumptions”), and (iii) the audit effort related to management’s development of the fair value estimate of the investment in unconsolidated joint venture with an other-than-temporary impairment involved the use of professionals with specialized skill and knowledge.</w:t>
      </w:r>
    </w:p>
    <w:p>
      <w:pPr>
        <w:spacing w:after="0" w:line="138" w:lineRule="exact"/>
        <w:rPr>
          <w:sz w:val="20"/>
          <w:szCs w:val="20"/>
          <w:color w:val="auto"/>
        </w:rPr>
      </w:pPr>
    </w:p>
    <w:p>
      <w:pPr>
        <w:ind w:left="5" w:right="60"/>
        <w:spacing w:after="0" w:line="24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(i) the identification of the indicators of impairment for long-lived assets and investments in unconsolidated joint ventures and (ii) developing the fair value estimate of the unconsolidated investment in joint venture with an other- than-temporary impairment. For the identification of the indicators of impairment, these procedures also included, among others, (i) testing management's process for identifying the indicators of impairment for long-lived assets and investments in unconsolidated joint ventures, (ii) evaluating the</w:t>
      </w: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5"/>
          </w:cols>
          <w:pgMar w:left="315" w:top="281" w:right="339" w:bottom="1440" w:gutter="0" w:footer="0" w:header="0"/>
        </w:sectPr>
      </w:pPr>
    </w:p>
    <w:bookmarkStart w:id="126" w:name="page127"/>
    <w:bookmarkEnd w:id="126"/>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40"/>
        <w:spacing w:after="0" w:line="247" w:lineRule="auto"/>
        <w:rPr>
          <w:sz w:val="20"/>
          <w:szCs w:val="20"/>
          <w:color w:val="auto"/>
        </w:rPr>
      </w:pPr>
      <w:r>
        <w:rPr>
          <w:rFonts w:ascii="Arial" w:cs="Arial" w:eastAsia="Arial" w:hAnsi="Arial"/>
          <w:sz w:val="16"/>
          <w:szCs w:val="16"/>
          <w:color w:val="auto"/>
        </w:rPr>
        <w:t>reasonableness of the models, (iii) testing the completeness and accuracy of the underlying data used in the models, and (iv) evaluating the reasonableness of management’s indicators of impairment related to the operating performance and anticipated hold periods for long-lived assets and the performance of each investment and market conditions for investments in unconsolidated joint ventures. Evaluating the operating performance and anticipated hold periods involved considering the current and past performance of the long-lived assets, the consistency with external market and industry data, and whether the indicators were consistent with evidence obtained in other areas of the audit. Evaluating performance of each investment and market conditions involved considering changes in the performance of the investments and market conditions and evidence obtained in other areas of the audit. For the fair value estimate of the unconsolidated investment in joint venture with an other- than- temporary decline, these procedures also included, among others, (i) testing management’s process for developing the fair value estimate of the investment in unconsolidated joint venture relating to the other-than-temporary impairment, (ii) evaluating the appropriateness of management’s discounted cash flow model, (iii) testing the completeness and accuracy of the underlying data used in the model, and (iv) evaluating the reasonableness of the significant fair value assumptions used by management by considering industry knowledge and data, historical Partnership data, and evidence obtained in other areas of the audit. Professionals with specialized skill and knowledge were used to assist in the evaluation of the appropriateness of the discounted cash flow model and reasonableness of the significant fair value assumptions.</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Purchase Price Allocation for Long-Lived Asset Property Acquisitions</w:t>
      </w:r>
    </w:p>
    <w:p>
      <w:pPr>
        <w:spacing w:after="0" w:line="164" w:lineRule="exact"/>
        <w:rPr>
          <w:sz w:val="20"/>
          <w:szCs w:val="20"/>
          <w:color w:val="auto"/>
        </w:rPr>
      </w:pPr>
    </w:p>
    <w:p>
      <w:pPr>
        <w:ind w:left="5" w:right="20"/>
        <w:spacing w:after="0" w:line="268" w:lineRule="auto"/>
        <w:rPr>
          <w:sz w:val="20"/>
          <w:szCs w:val="20"/>
          <w:color w:val="auto"/>
        </w:rPr>
      </w:pPr>
      <w:r>
        <w:rPr>
          <w:rFonts w:ascii="Arial" w:cs="Arial" w:eastAsia="Arial" w:hAnsi="Arial"/>
          <w:sz w:val="15"/>
          <w:szCs w:val="15"/>
          <w:color w:val="auto"/>
        </w:rPr>
        <w:t>As described in Notes 2 and 3 to the consolidated financial statements, during the year ended December 31, 2022, the Partnership acquired two properties for an aggregate purchase price of $1,316.7 million. Management assesses the fair value of acquired tangible and intangible assets (including land, buildings and improvements, tenant improvements, “above-” and “below-market” leases, leasing costs, acquired in-place leases, other identified intangible assets and assumed liabilities) and allocates the purchase price to the acquired assets and assumed liabilities, including land and buildings as if vacant. Management assesses fair value based on estimated cash flow projections that utilize discount, and/or capitalization rates, and available market information. Estimates of future cash flows are based on a number of factors including the historical operating results, known and anticipated trends, and market and economic conditions.</w:t>
      </w:r>
    </w:p>
    <w:p>
      <w:pPr>
        <w:spacing w:after="0" w:line="124"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The principal considerations for our determination that performing procedures relating to the purchase price allocation for long-lived asset property acquisitions is a critical audit matter are (i) the significant judgment by management in developing the fair value estimates of assets acquired and the corresponding purchase price allocation, (ii) a high degree of auditor judgment, subjectivity, and effort in performing procedures and evaluating audit evidence related to management’s significant assumptions related to discount rates and capitalization rates, and (iii) the audit effort involved the use of professionals with specialized skill and knowledge.</w:t>
      </w:r>
    </w:p>
    <w:p>
      <w:pPr>
        <w:spacing w:after="0" w:line="140" w:lineRule="exact"/>
        <w:rPr>
          <w:sz w:val="20"/>
          <w:szCs w:val="20"/>
          <w:color w:val="auto"/>
        </w:rPr>
      </w:pPr>
    </w:p>
    <w:p>
      <w:pPr>
        <w:ind w:left="5" w:right="40"/>
        <w:spacing w:after="0" w:line="263"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purchase price allocation for long-lived asset property acquisitions, including controls over the assumptions related to discount rates and capitalization rates used to determine the fair value of the assets acquired and the corresponding purchase price allocation. These procedures also included, among others, (i) reading the purchase agreements for all acquisitions, (ii) testing management’s process for developing the fair value estimates of the assets acquired and the corresponding purchase price allocation, (iii) evaluating the appropriateness of management’s discounted cash flow methods, (iv) testing the completeness and accuracy of the underlying data used in the methods, and,</w:t>
      </w:r>
    </w:p>
    <w:p>
      <w:pPr>
        <w:spacing w:after="0" w:line="4" w:lineRule="exact"/>
        <w:rPr>
          <w:sz w:val="20"/>
          <w:szCs w:val="20"/>
          <w:color w:val="auto"/>
        </w:rPr>
      </w:pPr>
    </w:p>
    <w:p>
      <w:pPr>
        <w:ind w:left="5" w:right="60" w:hanging="5"/>
        <w:spacing w:after="0" w:line="250" w:lineRule="auto"/>
        <w:tabs>
          <w:tab w:leader="none" w:pos="23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evaluating the reasonableness of the significant assumptions used by management, related to the discount rates and capitalization rates by considering industry knowledge and data as well as historical Partnership data and experience. Professionals with specialized skill and knowledge were used to assist in the evaluation of the appropriateness of the discounted cash flow model and reasonableness of the discount rates and capitalization rates assumptions.</w:t>
      </w:r>
    </w:p>
    <w:p>
      <w:pPr>
        <w:spacing w:after="0" w:line="343" w:lineRule="exact"/>
        <w:rPr>
          <w:sz w:val="20"/>
          <w:szCs w:val="20"/>
          <w:color w:val="auto"/>
        </w:rPr>
      </w:pPr>
    </w:p>
    <w:p>
      <w:pPr>
        <w:ind w:left="5"/>
        <w:spacing w:after="0"/>
        <w:rPr>
          <w:sz w:val="20"/>
          <w:szCs w:val="20"/>
          <w:color w:val="auto"/>
        </w:rPr>
      </w:pPr>
      <w:r>
        <w:rPr>
          <w:rFonts w:ascii="Arial" w:cs="Arial" w:eastAsia="Arial" w:hAnsi="Arial"/>
          <w:sz w:val="16"/>
          <w:szCs w:val="16"/>
          <w:color w:val="auto"/>
        </w:rPr>
        <w:t>/s/ PricewaterhouseCoopers LLP</w:t>
      </w:r>
    </w:p>
    <w:p>
      <w:pPr>
        <w:ind w:left="5"/>
        <w:spacing w:after="0"/>
        <w:rPr>
          <w:sz w:val="20"/>
          <w:szCs w:val="20"/>
          <w:color w:val="auto"/>
        </w:rPr>
      </w:pPr>
      <w:r>
        <w:rPr>
          <w:rFonts w:ascii="Arial" w:cs="Arial" w:eastAsia="Arial" w:hAnsi="Arial"/>
          <w:sz w:val="16"/>
          <w:szCs w:val="16"/>
          <w:color w:val="auto"/>
        </w:rPr>
        <w:t>Boston, Massachusetts</w:t>
      </w:r>
    </w:p>
    <w:p>
      <w:pPr>
        <w:spacing w:after="0" w:line="6" w:lineRule="exact"/>
        <w:rPr>
          <w:sz w:val="20"/>
          <w:szCs w:val="20"/>
          <w:color w:val="auto"/>
        </w:rPr>
      </w:pPr>
    </w:p>
    <w:p>
      <w:pPr>
        <w:ind w:left="5"/>
        <w:spacing w:after="0"/>
        <w:rPr>
          <w:sz w:val="20"/>
          <w:szCs w:val="20"/>
          <w:color w:val="auto"/>
        </w:rPr>
      </w:pPr>
      <w:r>
        <w:rPr>
          <w:rFonts w:ascii="Arial" w:cs="Arial" w:eastAsia="Arial" w:hAnsi="Arial"/>
          <w:sz w:val="16"/>
          <w:szCs w:val="16"/>
          <w:color w:val="auto"/>
        </w:rPr>
        <w:t>February 27, 2023</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have served as the Partnership’s auditor since 1997.</w:t>
      </w:r>
    </w:p>
    <w:p>
      <w:pPr>
        <w:spacing w:after="0" w:line="200" w:lineRule="exact"/>
        <w:rPr>
          <w:sz w:val="20"/>
          <w:szCs w:val="20"/>
          <w:color w:val="auto"/>
        </w:rPr>
      </w:pPr>
    </w:p>
    <w:p>
      <w:pPr>
        <w:spacing w:after="0" w:line="292"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5"/>
          </w:cols>
          <w:pgMar w:left="315" w:top="281" w:right="35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unit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35"/>
        </w:trPr>
        <w:tc>
          <w:tcPr>
            <w:tcW w:w="29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4300" w:type="dxa"/>
            <w:vAlign w:val="bottom"/>
            <w:tcBorders>
              <w:top w:val="single" w:sz="8" w:color="CCEEFF"/>
            </w:tcBorders>
            <w:gridSpan w:val="3"/>
            <w:shd w:val="clear" w:color="auto" w:fill="CCEEFF"/>
          </w:tcPr>
          <w:p>
            <w:pPr>
              <w:jc w:val="center"/>
              <w:ind w:right="3740"/>
              <w:spacing w:after="0" w:line="135" w:lineRule="exact"/>
              <w:rPr>
                <w:sz w:val="20"/>
                <w:szCs w:val="20"/>
                <w:color w:val="auto"/>
              </w:rPr>
            </w:pPr>
            <w:r>
              <w:rPr>
                <w:rFonts w:ascii="Arial" w:cs="Arial" w:eastAsia="Arial" w:hAnsi="Arial"/>
                <w:sz w:val="14"/>
                <w:szCs w:val="14"/>
                <w:b w:val="1"/>
                <w:bCs w:val="1"/>
                <w:color w:val="auto"/>
                <w:w w:val="99"/>
              </w:rPr>
              <w:t>ASSETS</w:t>
            </w: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r>
      <w:tr>
        <w:trPr>
          <w:trHeight w:val="36"/>
        </w:trPr>
        <w:tc>
          <w:tcPr>
            <w:tcW w:w="29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56"/>
        </w:trPr>
        <w:tc>
          <w:tcPr>
            <w:tcW w:w="7880" w:type="dxa"/>
            <w:vAlign w:val="bottom"/>
            <w:gridSpan w:val="5"/>
          </w:tcPr>
          <w:p>
            <w:pPr>
              <w:ind w:left="20"/>
              <w:spacing w:after="0" w:line="156" w:lineRule="exact"/>
              <w:rPr>
                <w:sz w:val="20"/>
                <w:szCs w:val="20"/>
                <w:color w:val="auto"/>
              </w:rPr>
            </w:pPr>
            <w:r>
              <w:rPr>
                <w:rFonts w:ascii="Arial" w:cs="Arial" w:eastAsia="Arial" w:hAnsi="Arial"/>
                <w:sz w:val="14"/>
                <w:szCs w:val="14"/>
                <w:color w:val="auto"/>
              </w:rPr>
              <w:t>Real estate, at cost (amounts related to variable interest entities (“VIEs”) of $6,789,029 and $6,702,830 at December 31,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2022 and December 31, 2021, respectively)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25,022,149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23,379,243</w:t>
            </w:r>
          </w:p>
        </w:tc>
      </w:tr>
      <w:tr>
        <w:trPr>
          <w:trHeight w:val="158"/>
        </w:trPr>
        <w:tc>
          <w:tcPr>
            <w:tcW w:w="7880" w:type="dxa"/>
            <w:vAlign w:val="bottom"/>
            <w:gridSpan w:val="5"/>
            <w:shd w:val="clear" w:color="auto" w:fill="CCEEFF"/>
          </w:tcPr>
          <w:p>
            <w:pPr>
              <w:ind w:left="20"/>
              <w:spacing w:after="0" w:line="159" w:lineRule="exact"/>
              <w:rPr>
                <w:sz w:val="20"/>
                <w:szCs w:val="20"/>
                <w:color w:val="auto"/>
              </w:rPr>
            </w:pPr>
            <w:r>
              <w:rPr>
                <w:rFonts w:ascii="Arial" w:cs="Arial" w:eastAsia="Arial" w:hAnsi="Arial"/>
                <w:sz w:val="14"/>
                <w:szCs w:val="14"/>
                <w:color w:val="auto"/>
              </w:rPr>
              <w:t>Right of use assets - finance leases (amounts related to VIEs of $21,000 and $21,000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237,507</w:t>
            </w:r>
          </w:p>
        </w:tc>
      </w:tr>
      <w:tr>
        <w:trPr>
          <w:trHeight w:val="187"/>
        </w:trPr>
        <w:tc>
          <w:tcPr>
            <w:tcW w:w="7880" w:type="dxa"/>
            <w:vAlign w:val="bottom"/>
            <w:gridSpan w:val="5"/>
          </w:tcPr>
          <w:p>
            <w:pPr>
              <w:ind w:left="20"/>
              <w:spacing w:after="0"/>
              <w:rPr>
                <w:sz w:val="20"/>
                <w:szCs w:val="20"/>
                <w:color w:val="auto"/>
              </w:rPr>
            </w:pPr>
            <w:r>
              <w:rPr>
                <w:rFonts w:ascii="Arial" w:cs="Arial" w:eastAsia="Arial" w:hAnsi="Arial"/>
                <w:sz w:val="14"/>
                <w:szCs w:val="14"/>
                <w:color w:val="auto"/>
              </w:rPr>
              <w:t>Right of use assets - operating leases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167,351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169,778</w:t>
            </w:r>
          </w:p>
        </w:tc>
      </w:tr>
      <w:tr>
        <w:trPr>
          <w:trHeight w:val="158"/>
        </w:trPr>
        <w:tc>
          <w:tcPr>
            <w:tcW w:w="7880" w:type="dxa"/>
            <w:vAlign w:val="bottom"/>
            <w:gridSpan w:val="5"/>
            <w:shd w:val="clear" w:color="auto" w:fill="CCEEFF"/>
          </w:tcPr>
          <w:p>
            <w:pPr>
              <w:ind w:left="300"/>
              <w:spacing w:after="0" w:line="159" w:lineRule="exact"/>
              <w:rPr>
                <w:sz w:val="20"/>
                <w:szCs w:val="20"/>
                <w:color w:val="auto"/>
              </w:rPr>
            </w:pPr>
            <w:r>
              <w:rPr>
                <w:rFonts w:ascii="Arial" w:cs="Arial" w:eastAsia="Arial" w:hAnsi="Arial"/>
                <w:sz w:val="14"/>
                <w:szCs w:val="14"/>
                <w:color w:val="auto"/>
              </w:rPr>
              <w:t>Less: accumulated depreciation (amounts related to VIEs of $(1,381,401) and $(1,283,060) at December 31, 2022</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and December 31, 2021, respectively)</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(6,180,474)</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(5,772,018)</w:t>
            </w:r>
          </w:p>
        </w:tc>
      </w:tr>
      <w:tr>
        <w:trPr>
          <w:trHeight w:val="179"/>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Total real estate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19,246,536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18,014,510</w:t>
            </w:r>
          </w:p>
        </w:tc>
      </w:tr>
      <w:tr>
        <w:trPr>
          <w:trHeight w:val="158"/>
        </w:trPr>
        <w:tc>
          <w:tcPr>
            <w:tcW w:w="7880" w:type="dxa"/>
            <w:vAlign w:val="bottom"/>
            <w:gridSpan w:val="5"/>
            <w:shd w:val="clear" w:color="auto" w:fill="CCEEFF"/>
          </w:tcPr>
          <w:p>
            <w:pPr>
              <w:ind w:left="20"/>
              <w:spacing w:after="0" w:line="159" w:lineRule="exact"/>
              <w:rPr>
                <w:sz w:val="20"/>
                <w:szCs w:val="20"/>
                <w:color w:val="auto"/>
              </w:rPr>
            </w:pPr>
            <w:r>
              <w:rPr>
                <w:rFonts w:ascii="Arial" w:cs="Arial" w:eastAsia="Arial" w:hAnsi="Arial"/>
                <w:sz w:val="14"/>
                <w:szCs w:val="14"/>
                <w:color w:val="auto"/>
              </w:rPr>
              <w:t>Cash and cash equivalents (amounts related to VIEs of $259,658 and $300,937 at December 31, 2022 and December 31,</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690,333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452,692</w:t>
            </w:r>
          </w:p>
        </w:tc>
      </w:tr>
      <w:tr>
        <w:trPr>
          <w:trHeight w:val="187"/>
        </w:trPr>
        <w:tc>
          <w:tcPr>
            <w:tcW w:w="7880" w:type="dxa"/>
            <w:vAlign w:val="bottom"/>
            <w:gridSpan w:val="5"/>
          </w:tcPr>
          <w:p>
            <w:pPr>
              <w:ind w:left="20"/>
              <w:spacing w:after="0"/>
              <w:rPr>
                <w:sz w:val="20"/>
                <w:szCs w:val="20"/>
                <w:color w:val="auto"/>
              </w:rPr>
            </w:pPr>
            <w:r>
              <w:rPr>
                <w:rFonts w:ascii="Arial" w:cs="Arial" w:eastAsia="Arial" w:hAnsi="Arial"/>
                <w:sz w:val="14"/>
                <w:szCs w:val="14"/>
                <w:color w:val="auto"/>
              </w:rPr>
              <w:t>Cash held in escrows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46,479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48,466</w:t>
            </w:r>
          </w:p>
        </w:tc>
      </w:tr>
      <w:tr>
        <w:trPr>
          <w:trHeight w:val="192"/>
        </w:trPr>
        <w:tc>
          <w:tcPr>
            <w:tcW w:w="78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Investments in securities</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43,632</w:t>
            </w:r>
          </w:p>
        </w:tc>
      </w:tr>
      <w:tr>
        <w:trPr>
          <w:trHeight w:val="156"/>
        </w:trPr>
        <w:tc>
          <w:tcPr>
            <w:tcW w:w="7880" w:type="dxa"/>
            <w:vAlign w:val="bottom"/>
            <w:gridSpan w:val="5"/>
          </w:tcPr>
          <w:p>
            <w:pPr>
              <w:ind w:left="20"/>
              <w:spacing w:after="0" w:line="156" w:lineRule="exact"/>
              <w:rPr>
                <w:sz w:val="20"/>
                <w:szCs w:val="20"/>
                <w:color w:val="auto"/>
              </w:rPr>
            </w:pPr>
            <w:r>
              <w:rPr>
                <w:rFonts w:ascii="Arial" w:cs="Arial" w:eastAsia="Arial" w:hAnsi="Arial"/>
                <w:sz w:val="14"/>
                <w:szCs w:val="14"/>
                <w:color w:val="auto"/>
              </w:rPr>
              <w:t>Tenant and other receivables, net (amounts related to VIEs of $16,521 and $6,824 at December 31, 2022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81,389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70,186</w:t>
            </w:r>
          </w:p>
        </w:tc>
      </w:tr>
      <w:tr>
        <w:trPr>
          <w:trHeight w:val="192"/>
        </w:trPr>
        <w:tc>
          <w:tcPr>
            <w:tcW w:w="78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Related party note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78,576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78,336</w:t>
            </w:r>
          </w:p>
        </w:tc>
      </w:tr>
      <w:tr>
        <w:trPr>
          <w:trHeight w:val="187"/>
        </w:trPr>
        <w:tc>
          <w:tcPr>
            <w:tcW w:w="7880" w:type="dxa"/>
            <w:vAlign w:val="bottom"/>
            <w:gridSpan w:val="5"/>
          </w:tcPr>
          <w:p>
            <w:pPr>
              <w:ind w:left="20"/>
              <w:spacing w:after="0"/>
              <w:rPr>
                <w:sz w:val="20"/>
                <w:szCs w:val="20"/>
                <w:color w:val="auto"/>
              </w:rPr>
            </w:pPr>
            <w:r>
              <w:rPr>
                <w:rFonts w:ascii="Arial" w:cs="Arial" w:eastAsia="Arial" w:hAnsi="Arial"/>
                <w:sz w:val="14"/>
                <w:szCs w:val="14"/>
                <w:color w:val="auto"/>
              </w:rPr>
              <w:t>Notes receivable, net</w:t>
            </w:r>
          </w:p>
        </w:tc>
        <w:tc>
          <w:tcPr>
            <w:tcW w:w="14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9,641</w:t>
            </w:r>
          </w:p>
        </w:tc>
      </w:tr>
      <w:tr>
        <w:trPr>
          <w:trHeight w:val="192"/>
        </w:trPr>
        <w:tc>
          <w:tcPr>
            <w:tcW w:w="78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Sales-type lease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7880" w:type="dxa"/>
            <w:vAlign w:val="bottom"/>
            <w:gridSpan w:val="5"/>
          </w:tcPr>
          <w:p>
            <w:pPr>
              <w:ind w:left="20"/>
              <w:spacing w:after="0" w:line="156" w:lineRule="exact"/>
              <w:rPr>
                <w:sz w:val="20"/>
                <w:szCs w:val="20"/>
                <w:color w:val="auto"/>
              </w:rPr>
            </w:pPr>
            <w:r>
              <w:rPr>
                <w:rFonts w:ascii="Arial" w:cs="Arial" w:eastAsia="Arial" w:hAnsi="Arial"/>
                <w:sz w:val="14"/>
                <w:szCs w:val="14"/>
                <w:color w:val="auto"/>
              </w:rPr>
              <w:t>Accrued rental income, net (amounts related to VIEs of $367,138 and $357,395 at December 31, 2022 and December 31,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1,276,580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1,226,745</w:t>
            </w:r>
          </w:p>
        </w:tc>
      </w:tr>
      <w:tr>
        <w:trPr>
          <w:trHeight w:val="158"/>
        </w:trPr>
        <w:tc>
          <w:tcPr>
            <w:tcW w:w="7880" w:type="dxa"/>
            <w:vAlign w:val="bottom"/>
            <w:gridSpan w:val="5"/>
            <w:shd w:val="clear" w:color="auto" w:fill="CCEEFF"/>
          </w:tcPr>
          <w:p>
            <w:pPr>
              <w:ind w:left="20"/>
              <w:spacing w:after="0" w:line="159" w:lineRule="exact"/>
              <w:rPr>
                <w:sz w:val="20"/>
                <w:szCs w:val="20"/>
                <w:color w:val="auto"/>
              </w:rPr>
            </w:pPr>
            <w:r>
              <w:rPr>
                <w:rFonts w:ascii="Arial" w:cs="Arial" w:eastAsia="Arial" w:hAnsi="Arial"/>
                <w:sz w:val="14"/>
                <w:szCs w:val="14"/>
                <w:color w:val="auto"/>
              </w:rPr>
              <w:t>Deferred charges, net (amounts related to VIEs of $176,597 and $174,637 at December 31, 2022 and December 31,</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733,282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618,798</w:t>
            </w:r>
          </w:p>
        </w:tc>
      </w:tr>
      <w:tr>
        <w:trPr>
          <w:trHeight w:val="156"/>
        </w:trPr>
        <w:tc>
          <w:tcPr>
            <w:tcW w:w="7880" w:type="dxa"/>
            <w:vAlign w:val="bottom"/>
            <w:gridSpan w:val="5"/>
          </w:tcPr>
          <w:p>
            <w:pPr>
              <w:ind w:left="20"/>
              <w:spacing w:after="0" w:line="156" w:lineRule="exact"/>
              <w:rPr>
                <w:sz w:val="20"/>
                <w:szCs w:val="20"/>
                <w:color w:val="auto"/>
              </w:rPr>
            </w:pPr>
            <w:r>
              <w:rPr>
                <w:rFonts w:ascii="Arial" w:cs="Arial" w:eastAsia="Arial" w:hAnsi="Arial"/>
                <w:sz w:val="14"/>
                <w:szCs w:val="14"/>
                <w:color w:val="auto"/>
              </w:rPr>
              <w:t>Prepaid expenses and other assets (amounts related to VIEs of $11,647 and $29,668 at December 31, 2022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43,589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57,811</w:t>
            </w:r>
          </w:p>
        </w:tc>
      </w:tr>
      <w:tr>
        <w:trPr>
          <w:trHeight w:val="192"/>
        </w:trPr>
        <w:tc>
          <w:tcPr>
            <w:tcW w:w="78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1,715,911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1,482,997</w:t>
            </w:r>
          </w:p>
        </w:tc>
      </w:tr>
      <w:tr>
        <w:trPr>
          <w:trHeight w:val="179"/>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23,957,763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22,103,814</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6"/>
        </w:trPr>
        <w:tc>
          <w:tcPr>
            <w:tcW w:w="2960" w:type="dxa"/>
            <w:vAlign w:val="bottom"/>
            <w:shd w:val="clear" w:color="auto" w:fill="CCEEFF"/>
          </w:tcPr>
          <w:p>
            <w:pPr>
              <w:spacing w:after="0"/>
              <w:rPr>
                <w:sz w:val="11"/>
                <w:szCs w:val="11"/>
                <w:color w:val="auto"/>
              </w:rPr>
            </w:pPr>
          </w:p>
        </w:tc>
        <w:tc>
          <w:tcPr>
            <w:tcW w:w="4920" w:type="dxa"/>
            <w:vAlign w:val="bottom"/>
            <w:gridSpan w:val="4"/>
            <w:shd w:val="clear" w:color="auto" w:fill="CCEEFF"/>
          </w:tcPr>
          <w:p>
            <w:pPr>
              <w:jc w:val="center"/>
              <w:ind w:right="3120"/>
              <w:spacing w:after="0" w:line="121" w:lineRule="exact"/>
              <w:rPr>
                <w:sz w:val="20"/>
                <w:szCs w:val="20"/>
                <w:color w:val="auto"/>
              </w:rPr>
            </w:pPr>
            <w:r>
              <w:rPr>
                <w:rFonts w:ascii="Arial" w:cs="Arial" w:eastAsia="Arial" w:hAnsi="Arial"/>
                <w:sz w:val="13"/>
                <w:szCs w:val="13"/>
                <w:b w:val="1"/>
                <w:bCs w:val="1"/>
                <w:color w:val="auto"/>
              </w:rPr>
              <w:t>LIABILITIES AND CAPITAL</w:t>
            </w: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87"/>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Liabilities:</w:t>
            </w:r>
          </w:p>
        </w:tc>
        <w:tc>
          <w:tcPr>
            <w:tcW w:w="1800" w:type="dxa"/>
            <w:vAlign w:val="bottom"/>
            <w:tcBorders>
              <w:top w:val="single" w:sz="8" w:color="auto"/>
            </w:tcBorders>
            <w:gridSpan w:val="3"/>
          </w:tcPr>
          <w:p>
            <w:pPr>
              <w:spacing w:after="0"/>
              <w:rPr>
                <w:sz w:val="16"/>
                <w:szCs w:val="16"/>
                <w:color w:val="auto"/>
              </w:rPr>
            </w:pPr>
          </w:p>
        </w:tc>
        <w:tc>
          <w:tcPr>
            <w:tcW w:w="3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80" w:type="dxa"/>
            <w:vAlign w:val="bottom"/>
            <w:tcBorders>
              <w:top w:val="single" w:sz="8" w:color="CCEEFF"/>
            </w:tcBorders>
          </w:tcPr>
          <w:p>
            <w:pPr>
              <w:spacing w:after="0"/>
              <w:rPr>
                <w:sz w:val="16"/>
                <w:szCs w:val="16"/>
                <w:color w:val="auto"/>
              </w:rPr>
            </w:pPr>
          </w:p>
        </w:tc>
      </w:tr>
      <w:tr>
        <w:trPr>
          <w:trHeight w:val="158"/>
        </w:trPr>
        <w:tc>
          <w:tcPr>
            <w:tcW w:w="7880" w:type="dxa"/>
            <w:vAlign w:val="bottom"/>
            <w:gridSpan w:val="5"/>
            <w:shd w:val="clear" w:color="auto" w:fill="CCEEFF"/>
          </w:tcPr>
          <w:p>
            <w:pPr>
              <w:ind w:left="300"/>
              <w:spacing w:after="0" w:line="159" w:lineRule="exact"/>
              <w:rPr>
                <w:sz w:val="20"/>
                <w:szCs w:val="20"/>
                <w:color w:val="auto"/>
              </w:rPr>
            </w:pPr>
            <w:r>
              <w:rPr>
                <w:rFonts w:ascii="Arial" w:cs="Arial" w:eastAsia="Arial" w:hAnsi="Arial"/>
                <w:sz w:val="14"/>
                <w:szCs w:val="14"/>
                <w:color w:val="auto"/>
              </w:rPr>
              <w:t>Mortgage notes payable, net (amounts related to VIEs of $3,272,368 and $3,267,914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3,272,368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3,267,914</w:t>
            </w: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Unsecured senior notes,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10,237,968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9,483,695</w:t>
            </w:r>
          </w:p>
        </w:tc>
      </w:tr>
      <w:tr>
        <w:trPr>
          <w:trHeight w:val="192"/>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Unsecured line of credit</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145,000</w:t>
            </w: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Unsecured term loan,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730,000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8"/>
        </w:trPr>
        <w:tc>
          <w:tcPr>
            <w:tcW w:w="7880" w:type="dxa"/>
            <w:vAlign w:val="bottom"/>
            <w:gridSpan w:val="5"/>
            <w:shd w:val="clear" w:color="auto" w:fill="CCEEFF"/>
          </w:tcPr>
          <w:p>
            <w:pPr>
              <w:ind w:left="300"/>
              <w:spacing w:after="0" w:line="159" w:lineRule="exact"/>
              <w:rPr>
                <w:sz w:val="20"/>
                <w:szCs w:val="20"/>
                <w:color w:val="auto"/>
              </w:rPr>
            </w:pPr>
            <w:r>
              <w:rPr>
                <w:rFonts w:ascii="Arial" w:cs="Arial" w:eastAsia="Arial" w:hAnsi="Arial"/>
                <w:sz w:val="14"/>
                <w:szCs w:val="14"/>
                <w:color w:val="auto"/>
              </w:rPr>
              <w:t>Lease liabilities - finance leases (amounts related to VIEs of $20,604 and $20,458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249,335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244,421</w:t>
            </w: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Lease liabilities - operating leases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204,686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204,561</w:t>
            </w:r>
          </w:p>
        </w:tc>
      </w:tr>
      <w:tr>
        <w:trPr>
          <w:trHeight w:val="158"/>
        </w:trPr>
        <w:tc>
          <w:tcPr>
            <w:tcW w:w="7880" w:type="dxa"/>
            <w:vAlign w:val="bottom"/>
            <w:gridSpan w:val="5"/>
            <w:shd w:val="clear" w:color="auto" w:fill="CCEEFF"/>
          </w:tcPr>
          <w:p>
            <w:pPr>
              <w:ind w:left="300"/>
              <w:spacing w:after="0" w:line="159" w:lineRule="exact"/>
              <w:rPr>
                <w:sz w:val="20"/>
                <w:szCs w:val="20"/>
                <w:color w:val="auto"/>
              </w:rPr>
            </w:pPr>
            <w:r>
              <w:rPr>
                <w:rFonts w:ascii="Arial" w:cs="Arial" w:eastAsia="Arial" w:hAnsi="Arial"/>
                <w:sz w:val="14"/>
                <w:szCs w:val="14"/>
                <w:color w:val="auto"/>
              </w:rPr>
              <w:t>Accounts payable and accrued expenses (amounts related to VIEs of $29,466 and $29,464 at December 31, 2022</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and December 31, 2021, 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320,775</w:t>
            </w: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Dividends and distributions payable</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170,643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169,859</w:t>
            </w:r>
          </w:p>
        </w:tc>
      </w:tr>
      <w:tr>
        <w:trPr>
          <w:trHeight w:val="192"/>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Accrued interest payable</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103,774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94,796</w:t>
            </w:r>
          </w:p>
        </w:tc>
      </w:tr>
      <w:tr>
        <w:trPr>
          <w:trHeight w:val="156"/>
        </w:trPr>
        <w:tc>
          <w:tcPr>
            <w:tcW w:w="7880" w:type="dxa"/>
            <w:vAlign w:val="bottom"/>
            <w:gridSpan w:val="5"/>
          </w:tcPr>
          <w:p>
            <w:pPr>
              <w:ind w:left="300"/>
              <w:spacing w:after="0" w:line="156" w:lineRule="exact"/>
              <w:rPr>
                <w:sz w:val="20"/>
                <w:szCs w:val="20"/>
                <w:color w:val="auto"/>
              </w:rPr>
            </w:pPr>
            <w:r>
              <w:rPr>
                <w:rFonts w:ascii="Arial" w:cs="Arial" w:eastAsia="Arial" w:hAnsi="Arial"/>
                <w:sz w:val="14"/>
                <w:szCs w:val="14"/>
                <w:color w:val="auto"/>
              </w:rPr>
              <w:t>Other liabilities (amounts related to VIEs of $114,232 and $150,131 at December 31, 2022 and December 31, 2021,</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7880" w:type="dxa"/>
            <w:vAlign w:val="bottom"/>
            <w:tcBorders>
              <w:bottom w:val="single" w:sz="8" w:color="CCEEFF"/>
            </w:tcBorders>
            <w:gridSpan w:val="5"/>
          </w:tcPr>
          <w:p>
            <w:pPr>
              <w:ind w:left="580"/>
              <w:spacing w:after="0"/>
              <w:rPr>
                <w:sz w:val="20"/>
                <w:szCs w:val="20"/>
                <w:color w:val="auto"/>
              </w:rPr>
            </w:pPr>
            <w:r>
              <w:rPr>
                <w:rFonts w:ascii="Arial" w:cs="Arial" w:eastAsia="Arial" w:hAnsi="Arial"/>
                <w:sz w:val="14"/>
                <w:szCs w:val="14"/>
                <w:color w:val="auto"/>
              </w:rPr>
              <w:t>respectively)</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450,918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391,441</w:t>
            </w:r>
          </w:p>
        </w:tc>
      </w:tr>
      <w:tr>
        <w:trPr>
          <w:trHeight w:val="184"/>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15,837,237</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14,322,462</w:t>
            </w:r>
          </w:p>
        </w:tc>
      </w:tr>
      <w:tr>
        <w:trPr>
          <w:trHeight w:val="167"/>
        </w:trPr>
        <w:tc>
          <w:tcPr>
            <w:tcW w:w="7880" w:type="dxa"/>
            <w:vAlign w:val="bottom"/>
            <w:gridSpan w:val="5"/>
          </w:tcPr>
          <w:p>
            <w:pPr>
              <w:ind w:left="20"/>
              <w:spacing w:after="0"/>
              <w:rPr>
                <w:sz w:val="20"/>
                <w:szCs w:val="20"/>
                <w:color w:val="auto"/>
              </w:rPr>
            </w:pPr>
            <w:r>
              <w:rPr>
                <w:rFonts w:ascii="Arial" w:cs="Arial" w:eastAsia="Arial" w:hAnsi="Arial"/>
                <w:sz w:val="14"/>
                <w:szCs w:val="14"/>
                <w:color w:val="auto"/>
              </w:rPr>
              <w:t>Commitments and contingencies (See Note 8)</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8"/>
        </w:trPr>
        <w:tc>
          <w:tcPr>
            <w:tcW w:w="7880" w:type="dxa"/>
            <w:vAlign w:val="bottom"/>
            <w:gridSpan w:val="5"/>
            <w:shd w:val="clear" w:color="auto" w:fill="CCEEFF"/>
          </w:tcPr>
          <w:p>
            <w:pPr>
              <w:ind w:left="20"/>
              <w:spacing w:after="0" w:line="159" w:lineRule="exact"/>
              <w:rPr>
                <w:sz w:val="20"/>
                <w:szCs w:val="20"/>
                <w:color w:val="auto"/>
              </w:rPr>
            </w:pPr>
            <w:r>
              <w:rPr>
                <w:rFonts w:ascii="Arial" w:cs="Arial" w:eastAsia="Arial" w:hAnsi="Arial"/>
                <w:sz w:val="14"/>
                <w:szCs w:val="14"/>
                <w:color w:val="auto"/>
              </w:rPr>
              <w:t>Redeemable deferred stock units— 97,853 and 83,073 units outstanding at redemption value at December 31, 2022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3"/>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December 31, 2021, respectively</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6,613</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9,568</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unit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8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Redeemable partnership units— 16,531,172 and 16,561,186 common units and 1,679,175 and 1,485,376 long term</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incentive units outstanding at redemption value at December 31, 2022 and December 31, 2021, respectively</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1,280,886</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2,078,603</w:t>
            </w:r>
          </w:p>
        </w:tc>
      </w:tr>
      <w:tr>
        <w:trPr>
          <w:trHeight w:val="167"/>
        </w:trPr>
        <w:tc>
          <w:tcPr>
            <w:tcW w:w="7880" w:type="dxa"/>
            <w:vAlign w:val="bottom"/>
          </w:tcPr>
          <w:p>
            <w:pPr>
              <w:ind w:left="2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8"/>
        </w:trPr>
        <w:tc>
          <w:tcPr>
            <w:tcW w:w="78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Boston Properties Limited Partnership partners’ capital— 1,749,682 and 1,745,914 general partner units and</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42"/>
        </w:trPr>
        <w:tc>
          <w:tcPr>
            <w:tcW w:w="7880" w:type="dxa"/>
            <w:vAlign w:val="bottom"/>
            <w:shd w:val="clear" w:color="auto" w:fill="CCEEFF"/>
          </w:tcPr>
          <w:p>
            <w:pPr>
              <w:ind w:left="580"/>
              <w:spacing w:after="0" w:line="143" w:lineRule="exact"/>
              <w:rPr>
                <w:sz w:val="20"/>
                <w:szCs w:val="20"/>
                <w:color w:val="auto"/>
              </w:rPr>
            </w:pPr>
            <w:r>
              <w:rPr>
                <w:rFonts w:ascii="Arial" w:cs="Arial" w:eastAsia="Arial" w:hAnsi="Arial"/>
                <w:sz w:val="14"/>
                <w:szCs w:val="14"/>
                <w:color w:val="auto"/>
              </w:rPr>
              <w:t>155,008,185 and 154,798,935 limited partner units outstanding at December 31, 2022 and December 31, 2021,</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76"/>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respectively</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5,299,428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4,173,290</w:t>
            </w:r>
          </w:p>
        </w:tc>
      </w:tr>
      <w:tr>
        <w:trPr>
          <w:trHeight w:val="187"/>
        </w:trPr>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(13,718)</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(36,662)</w:t>
            </w:r>
          </w:p>
        </w:tc>
      </w:tr>
      <w:tr>
        <w:trPr>
          <w:trHeight w:val="184"/>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partners’ capital</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5,285,710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4,136,628</w:t>
            </w:r>
          </w:p>
        </w:tc>
      </w:tr>
      <w:tr>
        <w:trPr>
          <w:trHeight w:val="187"/>
        </w:trPr>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1,547,317</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1,556,553</w:t>
            </w:r>
          </w:p>
        </w:tc>
      </w:tr>
      <w:tr>
        <w:trPr>
          <w:trHeight w:val="184"/>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capital</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6,833,027</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5,693,181</w:t>
            </w:r>
          </w:p>
        </w:tc>
      </w:tr>
      <w:tr>
        <w:trPr>
          <w:trHeight w:val="179"/>
        </w:trPr>
        <w:tc>
          <w:tcPr>
            <w:tcW w:w="7880" w:type="dxa"/>
            <w:vAlign w:val="bottom"/>
          </w:tcPr>
          <w:p>
            <w:pPr>
              <w:ind w:left="580"/>
              <w:spacing w:after="0"/>
              <w:rPr>
                <w:sz w:val="20"/>
                <w:szCs w:val="20"/>
                <w:color w:val="auto"/>
              </w:rPr>
            </w:pPr>
            <w:r>
              <w:rPr>
                <w:rFonts w:ascii="Arial" w:cs="Arial" w:eastAsia="Arial" w:hAnsi="Arial"/>
                <w:sz w:val="14"/>
                <w:szCs w:val="14"/>
                <w:color w:val="auto"/>
              </w:rPr>
              <w:t>Total liabilities and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23,957,763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22,103,814</w:t>
            </w: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Lease</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2,918,368</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2,753,014</w:t>
            </w:r>
          </w:p>
        </w:tc>
        <w:tc>
          <w:tcPr>
            <w:tcW w:w="24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2,646,261</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Parking and other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107,225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81,814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70,680</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Hotel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39,482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13,609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Development and management services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29,641</w:t>
            </w:r>
          </w:p>
        </w:tc>
        <w:tc>
          <w:tcPr>
            <w:tcW w:w="0" w:type="dxa"/>
            <w:vAlign w:val="bottom"/>
          </w:tcPr>
          <w:p>
            <w:pPr>
              <w:spacing w:after="0"/>
              <w:rPr>
                <w:sz w:val="1"/>
                <w:szCs w:val="1"/>
                <w:color w:val="auto"/>
              </w:rPr>
            </w:pPr>
          </w:p>
        </w:tc>
      </w:tr>
      <w:tr>
        <w:trPr>
          <w:trHeight w:val="187"/>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15,450</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12,487</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w:t>
            </w: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3,108,581</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2,888,621</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2,765,686</w:t>
            </w:r>
          </w:p>
        </w:tc>
        <w:tc>
          <w:tcPr>
            <w:tcW w:w="0" w:type="dxa"/>
            <w:vAlign w:val="bottom"/>
          </w:tcPr>
          <w:p>
            <w:pPr>
              <w:spacing w:after="0"/>
              <w:rPr>
                <w:sz w:val="1"/>
                <w:szCs w:val="1"/>
                <w:color w:val="auto"/>
              </w:rPr>
            </w:pPr>
          </w:p>
        </w:tc>
      </w:tr>
      <w:tr>
        <w:trPr>
          <w:trHeight w:val="167"/>
        </w:trPr>
        <w:tc>
          <w:tcPr>
            <w:tcW w:w="6820" w:type="dxa"/>
            <w:vAlign w:val="bottom"/>
          </w:tcPr>
          <w:p>
            <w:pPr>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20" w:type="dxa"/>
            <w:vAlign w:val="bottom"/>
          </w:tcPr>
          <w:p>
            <w:pPr>
              <w:ind w:left="560"/>
              <w:spacing w:after="0"/>
              <w:rPr>
                <w:sz w:val="20"/>
                <w:szCs w:val="20"/>
                <w:color w:val="auto"/>
              </w:rPr>
            </w:pPr>
            <w:r>
              <w:rPr>
                <w:rFonts w:ascii="Arial" w:cs="Arial" w:eastAsia="Arial" w:hAnsi="Arial"/>
                <w:sz w:val="14"/>
                <w:szCs w:val="14"/>
                <w:color w:val="auto"/>
              </w:rPr>
              <w:t>Rental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1,108,070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1,021,151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1,017,208</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Hotel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146,378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151,573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133,112</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Payroll and related costs from management services contracts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11,626</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Transaction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5,036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742,293</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709,035</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676,666</w:t>
            </w:r>
          </w:p>
        </w:tc>
        <w:tc>
          <w:tcPr>
            <w:tcW w:w="0" w:type="dxa"/>
            <w:vAlign w:val="bottom"/>
          </w:tcPr>
          <w:p>
            <w:pPr>
              <w:spacing w:after="0"/>
              <w:rPr>
                <w:sz w:val="1"/>
                <w:szCs w:val="1"/>
                <w:color w:val="auto"/>
              </w:rPr>
            </w:pPr>
          </w:p>
        </w:tc>
      </w:tr>
      <w:tr>
        <w:trPr>
          <w:trHeight w:val="179"/>
        </w:trPr>
        <w:tc>
          <w:tcPr>
            <w:tcW w:w="682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2,042,574</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1,912,280</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1,853,279</w:t>
            </w:r>
          </w:p>
        </w:tc>
        <w:tc>
          <w:tcPr>
            <w:tcW w:w="0" w:type="dxa"/>
            <w:vAlign w:val="bottom"/>
          </w:tcPr>
          <w:p>
            <w:pPr>
              <w:spacing w:after="0"/>
              <w:rPr>
                <w:sz w:val="1"/>
                <w:szCs w:val="1"/>
                <w:color w:val="auto"/>
              </w:rPr>
            </w:pPr>
          </w:p>
        </w:tc>
      </w:tr>
      <w:tr>
        <w:trPr>
          <w:trHeight w:val="172"/>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Loss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(59,840)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(85,110)</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on sales of real estate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441,075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631,945</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Gain on sales-type lease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10,058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other income (loss)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Other income - assignment fee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from investments in securities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Unrealized loss on non-real estate investment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Losses from early extinguishment of debt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(437,139)</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(423,346)</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(431,717)</w:t>
            </w: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1,032,122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641,771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1,038,739</w:t>
            </w:r>
          </w:p>
        </w:tc>
        <w:tc>
          <w:tcPr>
            <w:tcW w:w="0" w:type="dxa"/>
            <w:vAlign w:val="bottom"/>
          </w:tcPr>
          <w:p>
            <w:pPr>
              <w:spacing w:after="0"/>
              <w:rPr>
                <w:sz w:val="1"/>
                <w:szCs w:val="1"/>
                <w:color w:val="auto"/>
              </w:rPr>
            </w:pPr>
          </w:p>
        </w:tc>
      </w:tr>
      <w:tr>
        <w:trPr>
          <w:trHeight w:val="187"/>
        </w:trPr>
        <w:tc>
          <w:tcPr>
            <w:tcW w:w="68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(74,857)</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(70,806)</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(48,260)</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20"/>
                <w:szCs w:val="20"/>
                <w:color w:val="auto"/>
              </w:rPr>
            </w:pPr>
            <w:r>
              <w:rPr>
                <w:rFonts w:ascii="Arial" w:cs="Arial" w:eastAsia="Arial" w:hAnsi="Arial"/>
                <w:sz w:val="14"/>
                <w:szCs w:val="14"/>
                <w:color w:val="auto"/>
              </w:rPr>
              <w:t>Net income attributable to Boston Properties Limited Partnership</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957,265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570,965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990,479</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distributions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87"/>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Preferred unit redemption charge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(6,412)</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Limited Partnership common unitholders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957,265</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561,993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979,979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Basic earnings per common unit attributable to Boston Properties Limited Partnership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79"/>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Weighted average number of common units outstanding</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174,360</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173,150</w:t>
            </w:r>
          </w:p>
        </w:tc>
        <w:tc>
          <w:tcPr>
            <w:tcW w:w="2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172,643</w:t>
            </w:r>
          </w:p>
        </w:tc>
        <w:tc>
          <w:tcPr>
            <w:tcW w:w="0" w:type="dxa"/>
            <w:vAlign w:val="bottom"/>
          </w:tcPr>
          <w:p>
            <w:pPr>
              <w:spacing w:after="0"/>
              <w:rPr>
                <w:sz w:val="1"/>
                <w:szCs w:val="1"/>
                <w:color w:val="auto"/>
              </w:rPr>
            </w:pPr>
          </w:p>
        </w:tc>
      </w:tr>
      <w:tr>
        <w:trPr>
          <w:trHeight w:val="172"/>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per common unit attributable to Boston Properties Limited Partnership</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5.47</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3.24</w:t>
            </w:r>
          </w:p>
        </w:tc>
        <w:tc>
          <w:tcPr>
            <w:tcW w:w="24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81"/>
        </w:trPr>
        <w:tc>
          <w:tcPr>
            <w:tcW w:w="68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Weighted average number of common and common equivalent units outstanding</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174,771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173,410</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172,728</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30" w:name="page131"/>
    <w:bookmarkEnd w:id="130"/>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5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thousands)</w:t>
      </w:r>
    </w:p>
    <w:p>
      <w:pPr>
        <w:spacing w:after="0" w:line="294"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4"/>
        </w:trPr>
        <w:tc>
          <w:tcPr>
            <w:tcW w:w="6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194"/>
        </w:trPr>
        <w:tc>
          <w:tcPr>
            <w:tcW w:w="68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1,032,122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641,771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1,038,739</w:t>
            </w:r>
          </w:p>
        </w:tc>
      </w:tr>
      <w:tr>
        <w:trPr>
          <w:trHeight w:val="201"/>
        </w:trPr>
        <w:tc>
          <w:tcPr>
            <w:tcW w:w="68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Effective portion of interest rate contracts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19,396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8,544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(7,848)</w:t>
            </w:r>
          </w:p>
        </w:tc>
      </w:tr>
      <w:tr>
        <w:trPr>
          <w:trHeight w:val="201"/>
        </w:trPr>
        <w:tc>
          <w:tcPr>
            <w:tcW w:w="68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Amortization of interest rate contracts (1)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6,704</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6,697</w:t>
            </w:r>
          </w:p>
        </w:tc>
      </w:tr>
      <w:tr>
        <w:trPr>
          <w:trHeight w:val="194"/>
        </w:trPr>
        <w:tc>
          <w:tcPr>
            <w:tcW w:w="684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26,103</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15,248</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193"/>
        </w:trPr>
        <w:tc>
          <w:tcPr>
            <w:tcW w:w="6840" w:type="dxa"/>
            <w:vAlign w:val="bottom"/>
          </w:tcPr>
          <w:p>
            <w:pPr>
              <w:ind w:left="20"/>
              <w:spacing w:after="0" w:line="180" w:lineRule="exact"/>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1,058,225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657,019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1,037,588</w:t>
            </w:r>
          </w:p>
        </w:tc>
      </w:tr>
      <w:tr>
        <w:trPr>
          <w:trHeight w:val="20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(75,433)</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(71,382)</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(48,836)</w:t>
            </w:r>
          </w:p>
        </w:tc>
      </w:tr>
      <w:tr>
        <w:trPr>
          <w:trHeight w:val="193"/>
        </w:trPr>
        <w:tc>
          <w:tcPr>
            <w:tcW w:w="6840" w:type="dxa"/>
            <w:vAlign w:val="bottom"/>
          </w:tcPr>
          <w:p>
            <w:pPr>
              <w:ind w:left="20"/>
              <w:spacing w:after="0" w:line="180" w:lineRule="exact"/>
              <w:rPr>
                <w:sz w:val="20"/>
                <w:szCs w:val="20"/>
                <w:color w:val="auto"/>
              </w:rPr>
            </w:pPr>
            <w:r>
              <w:rPr>
                <w:rFonts w:ascii="Arial" w:cs="Arial" w:eastAsia="Arial" w:hAnsi="Arial"/>
                <w:sz w:val="16"/>
                <w:szCs w:val="16"/>
                <w:color w:val="auto"/>
              </w:rPr>
              <w:t>Comprehensive income attributable to Boston Properties Limited Partnership</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982,792</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585,637</w:t>
            </w:r>
          </w:p>
        </w:tc>
        <w:tc>
          <w:tcPr>
            <w:tcW w:w="200" w:type="dxa"/>
            <w:vAlign w:val="bottom"/>
          </w:tcPr>
          <w:p>
            <w:pPr>
              <w:spacing w:after="0"/>
              <w:rPr>
                <w:sz w:val="16"/>
                <w:szCs w:val="16"/>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988,752</w:t>
            </w:r>
          </w:p>
        </w:tc>
      </w:tr>
      <w:tr>
        <w:trPr>
          <w:trHeight w:val="20"/>
        </w:trPr>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w:t>
      </w:r>
    </w:p>
    <w:p>
      <w:pPr>
        <w:spacing w:after="0" w:line="6" w:lineRule="exact"/>
        <w:rPr>
          <w:sz w:val="20"/>
          <w:szCs w:val="20"/>
          <w:color w:val="auto"/>
        </w:rPr>
      </w:pPr>
    </w:p>
    <w:p>
      <w:pPr>
        <w:ind w:left="285" w:right="240" w:hanging="285"/>
        <w:spacing w:after="0" w:line="253" w:lineRule="auto"/>
        <w:tabs>
          <w:tab w:leader="none" w:pos="2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BOSTON PROPERTIES LIMITED PARTNERSHIP</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CAPITAL AND NONCONTROLLING INTERESTS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8" w:lineRule="exact"/>
        <w:rPr>
          <w:sz w:val="20"/>
          <w:szCs w:val="20"/>
          <w:color w:val="auto"/>
        </w:rPr>
      </w:pPr>
    </w:p>
    <w:tbl>
      <w:tblPr>
        <w:tblLayout w:type="fixed"/>
        <w:tblInd w:w="3680" w:type="dxa"/>
        <w:tblCellMar>
          <w:top w:w="0" w:type="dxa"/>
          <w:left w:w="0" w:type="dxa"/>
          <w:bottom w:w="0" w:type="dxa"/>
          <w:right w:w="0" w:type="dxa"/>
        </w:tblCellMar>
      </w:tblPr>
      <w:tr>
        <w:trPr>
          <w:trHeight w:val="153"/>
        </w:trPr>
        <w:tc>
          <w:tcPr>
            <w:tcW w:w="6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Units</w:t>
            </w: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ind w:left="320"/>
              <w:spacing w:after="0"/>
              <w:rPr>
                <w:sz w:val="20"/>
                <w:szCs w:val="20"/>
                <w:color w:val="auto"/>
              </w:rPr>
            </w:pPr>
            <w:r>
              <w:rPr>
                <w:rFonts w:ascii="Arial" w:cs="Arial" w:eastAsia="Arial" w:hAnsi="Arial"/>
                <w:sz w:val="11"/>
                <w:szCs w:val="11"/>
                <w:b w:val="1"/>
                <w:bCs w:val="1"/>
                <w:color w:val="auto"/>
              </w:rPr>
              <w:t>Capital</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vMerge w:val="restart"/>
          </w:tcPr>
          <w:p>
            <w:pPr>
              <w:jc w:val="center"/>
              <w:ind w:right="25"/>
              <w:spacing w:after="0"/>
              <w:rPr>
                <w:sz w:val="20"/>
                <w:szCs w:val="20"/>
                <w:color w:val="auto"/>
              </w:rPr>
            </w:pPr>
            <w:r>
              <w:rPr>
                <w:rFonts w:ascii="Arial" w:cs="Arial" w:eastAsia="Arial" w:hAnsi="Arial"/>
                <w:sz w:val="11"/>
                <w:szCs w:val="11"/>
                <w:b w:val="1"/>
                <w:bCs w:val="1"/>
                <w:color w:val="auto"/>
              </w:rPr>
              <w:t>Partners’ Capital</w:t>
            </w:r>
          </w:p>
        </w:tc>
        <w:tc>
          <w:tcPr>
            <w:tcW w:w="7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5"/>
              <w:spacing w:after="0" w:line="117" w:lineRule="exact"/>
              <w:rPr>
                <w:sz w:val="20"/>
                <w:szCs w:val="20"/>
                <w:color w:val="auto"/>
              </w:rPr>
            </w:pPr>
            <w:r>
              <w:rPr>
                <w:rFonts w:ascii="Arial" w:cs="Arial" w:eastAsia="Arial" w:hAnsi="Arial"/>
                <w:sz w:val="11"/>
                <w:szCs w:val="11"/>
                <w:b w:val="1"/>
                <w:bCs w:val="1"/>
                <w:color w:val="auto"/>
              </w:rPr>
              <w:t>Accumulated</w:t>
            </w:r>
          </w:p>
        </w:tc>
        <w:tc>
          <w:tcPr>
            <w:tcW w:w="9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Noncontrolling</w:t>
            </w:r>
          </w:p>
        </w:tc>
        <w:tc>
          <w:tcPr>
            <w:tcW w:w="780" w:type="dxa"/>
            <w:vAlign w:val="bottom"/>
            <w:tcBorders>
              <w:top w:val="single" w:sz="8" w:color="auto"/>
            </w:tcBorders>
          </w:tcPr>
          <w:p>
            <w:pPr>
              <w:spacing w:after="0"/>
              <w:rPr>
                <w:sz w:val="10"/>
                <w:szCs w:val="10"/>
                <w:color w:val="auto"/>
              </w:rPr>
            </w:pPr>
          </w:p>
        </w:tc>
        <w:tc>
          <w:tcPr>
            <w:tcW w:w="1140" w:type="dxa"/>
            <w:vAlign w:val="bottom"/>
          </w:tcPr>
          <w:p>
            <w:pPr>
              <w:jc w:val="center"/>
              <w:ind w:left="165"/>
              <w:spacing w:after="0" w:line="117"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jc w:val="center"/>
              <w:ind w:left="5"/>
              <w:spacing w:after="0" w:line="107" w:lineRule="exact"/>
              <w:rPr>
                <w:sz w:val="20"/>
                <w:szCs w:val="20"/>
                <w:color w:val="auto"/>
              </w:rPr>
            </w:pPr>
            <w:r>
              <w:rPr>
                <w:rFonts w:ascii="Arial" w:cs="Arial" w:eastAsia="Arial" w:hAnsi="Arial"/>
                <w:sz w:val="11"/>
                <w:szCs w:val="11"/>
                <w:b w:val="1"/>
                <w:bCs w:val="1"/>
                <w:color w:val="auto"/>
              </w:rPr>
              <w:t>Other</w:t>
            </w:r>
          </w:p>
        </w:tc>
        <w:tc>
          <w:tcPr>
            <w:tcW w:w="9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Interests -</w:t>
            </w:r>
          </w:p>
        </w:tc>
        <w:tc>
          <w:tcPr>
            <w:tcW w:w="780" w:type="dxa"/>
            <w:vAlign w:val="bottom"/>
          </w:tcPr>
          <w:p>
            <w:pPr>
              <w:spacing w:after="0"/>
              <w:rPr>
                <w:sz w:val="9"/>
                <w:szCs w:val="9"/>
                <w:color w:val="auto"/>
              </w:rPr>
            </w:pPr>
          </w:p>
        </w:tc>
        <w:tc>
          <w:tcPr>
            <w:tcW w:w="1140" w:type="dxa"/>
            <w:vAlign w:val="bottom"/>
          </w:tcPr>
          <w:p>
            <w:pPr>
              <w:jc w:val="center"/>
              <w:ind w:left="165"/>
              <w:spacing w:after="0" w:line="107" w:lineRule="exact"/>
              <w:rPr>
                <w:sz w:val="20"/>
                <w:szCs w:val="20"/>
                <w:color w:val="auto"/>
              </w:rPr>
            </w:pPr>
            <w:r>
              <w:rPr>
                <w:rFonts w:ascii="Arial" w:cs="Arial" w:eastAsia="Arial" w:hAnsi="Arial"/>
                <w:sz w:val="11"/>
                <w:szCs w:val="11"/>
                <w:b w:val="1"/>
                <w:bCs w:val="1"/>
                <w:color w:val="auto"/>
                <w:w w:val="98"/>
              </w:rPr>
              <w:t>Interests -</w:t>
            </w:r>
          </w:p>
        </w:tc>
        <w:tc>
          <w:tcPr>
            <w:tcW w:w="0" w:type="dxa"/>
            <w:vAlign w:val="bottom"/>
          </w:tcPr>
          <w:p>
            <w:pPr>
              <w:spacing w:after="0"/>
              <w:rPr>
                <w:sz w:val="1"/>
                <w:szCs w:val="1"/>
                <w:color w:val="auto"/>
              </w:rPr>
            </w:pPr>
          </w:p>
        </w:tc>
      </w:tr>
      <w:tr>
        <w:trPr>
          <w:trHeight w:val="119"/>
        </w:trPr>
        <w:tc>
          <w:tcPr>
            <w:tcW w:w="600" w:type="dxa"/>
            <w:vAlign w:val="bottom"/>
          </w:tcPr>
          <w:p>
            <w:pPr>
              <w:ind w:left="160"/>
              <w:spacing w:after="0" w:line="119" w:lineRule="exact"/>
              <w:rPr>
                <w:sz w:val="20"/>
                <w:szCs w:val="20"/>
                <w:color w:val="auto"/>
              </w:rPr>
            </w:pPr>
            <w:r>
              <w:rPr>
                <w:rFonts w:ascii="Arial" w:cs="Arial" w:eastAsia="Arial" w:hAnsi="Arial"/>
                <w:sz w:val="11"/>
                <w:szCs w:val="11"/>
                <w:b w:val="1"/>
                <w:bCs w:val="1"/>
                <w:color w:val="auto"/>
              </w:rPr>
              <w:t>General</w:t>
            </w:r>
          </w:p>
        </w:tc>
        <w:tc>
          <w:tcPr>
            <w:tcW w:w="1080" w:type="dxa"/>
            <w:vAlign w:val="bottom"/>
            <w:gridSpan w:val="2"/>
          </w:tcPr>
          <w:p>
            <w:pPr>
              <w:ind w:left="360"/>
              <w:spacing w:after="0" w:line="119" w:lineRule="exact"/>
              <w:rPr>
                <w:sz w:val="20"/>
                <w:szCs w:val="20"/>
                <w:color w:val="auto"/>
              </w:rPr>
            </w:pPr>
            <w:r>
              <w:rPr>
                <w:rFonts w:ascii="Arial" w:cs="Arial" w:eastAsia="Arial" w:hAnsi="Arial"/>
                <w:sz w:val="11"/>
                <w:szCs w:val="11"/>
                <w:b w:val="1"/>
                <w:bCs w:val="1"/>
                <w:color w:val="auto"/>
              </w:rPr>
              <w:t>Limited</w:t>
            </w:r>
          </w:p>
        </w:tc>
        <w:tc>
          <w:tcPr>
            <w:tcW w:w="1080" w:type="dxa"/>
            <w:vAlign w:val="bottom"/>
          </w:tcPr>
          <w:p>
            <w:pPr>
              <w:jc w:val="center"/>
              <w:ind w:right="25"/>
              <w:spacing w:after="0" w:line="119" w:lineRule="exact"/>
              <w:rPr>
                <w:sz w:val="20"/>
                <w:szCs w:val="20"/>
                <w:color w:val="auto"/>
              </w:rPr>
            </w:pPr>
            <w:r>
              <w:rPr>
                <w:rFonts w:ascii="Arial" w:cs="Arial" w:eastAsia="Arial" w:hAnsi="Arial"/>
                <w:sz w:val="11"/>
                <w:szCs w:val="11"/>
                <w:b w:val="1"/>
                <w:bCs w:val="1"/>
                <w:color w:val="auto"/>
              </w:rPr>
              <w:t>(General and</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Preferred</w:t>
            </w: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Comprehensive</w:t>
            </w: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Property</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Total Capital</w:t>
            </w:r>
          </w:p>
        </w:tc>
        <w:tc>
          <w:tcPr>
            <w:tcW w:w="1140" w:type="dxa"/>
            <w:vAlign w:val="bottom"/>
          </w:tcPr>
          <w:p>
            <w:pPr>
              <w:jc w:val="center"/>
              <w:ind w:left="165"/>
              <w:spacing w:after="0" w:line="119"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46"/>
        </w:trPr>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Partner</w:t>
            </w:r>
          </w:p>
        </w:tc>
        <w:tc>
          <w:tcPr>
            <w:tcW w:w="1080" w:type="dxa"/>
            <w:vAlign w:val="bottom"/>
            <w:gridSpan w:val="2"/>
          </w:tcPr>
          <w:p>
            <w:pPr>
              <w:ind w:left="360"/>
              <w:spacing w:after="0"/>
              <w:rPr>
                <w:sz w:val="20"/>
                <w:szCs w:val="20"/>
                <w:color w:val="auto"/>
              </w:rPr>
            </w:pPr>
            <w:r>
              <w:rPr>
                <w:rFonts w:ascii="Arial" w:cs="Arial" w:eastAsia="Arial" w:hAnsi="Arial"/>
                <w:sz w:val="11"/>
                <w:szCs w:val="11"/>
                <w:b w:val="1"/>
                <w:bCs w:val="1"/>
                <w:color w:val="auto"/>
              </w:rPr>
              <w:t>Partner</w:t>
            </w:r>
          </w:p>
        </w:tc>
        <w:tc>
          <w:tcPr>
            <w:tcW w:w="1080" w:type="dxa"/>
            <w:vAlign w:val="bottom"/>
          </w:tcPr>
          <w:p>
            <w:pPr>
              <w:jc w:val="center"/>
              <w:ind w:right="5"/>
              <w:spacing w:after="0"/>
              <w:rPr>
                <w:sz w:val="20"/>
                <w:szCs w:val="20"/>
                <w:color w:val="auto"/>
              </w:rPr>
            </w:pPr>
            <w:r>
              <w:rPr>
                <w:rFonts w:ascii="Arial" w:cs="Arial" w:eastAsia="Arial" w:hAnsi="Arial"/>
                <w:sz w:val="11"/>
                <w:szCs w:val="11"/>
                <w:b w:val="1"/>
                <w:bCs w:val="1"/>
                <w:color w:val="auto"/>
                <w:w w:val="99"/>
              </w:rPr>
              <w:t>Limited Partners)</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Units</w:t>
            </w:r>
          </w:p>
        </w:tc>
        <w:tc>
          <w:tcPr>
            <w:tcW w:w="1080" w:type="dxa"/>
            <w:vAlign w:val="bottom"/>
          </w:tcPr>
          <w:p>
            <w:pPr>
              <w:jc w:val="center"/>
              <w:ind w:left="5"/>
              <w:spacing w:after="0"/>
              <w:rPr>
                <w:sz w:val="20"/>
                <w:szCs w:val="20"/>
                <w:color w:val="auto"/>
              </w:rPr>
            </w:pPr>
            <w:r>
              <w:rPr>
                <w:rFonts w:ascii="Arial" w:cs="Arial" w:eastAsia="Arial" w:hAnsi="Arial"/>
                <w:sz w:val="11"/>
                <w:szCs w:val="11"/>
                <w:b w:val="1"/>
                <w:bCs w:val="1"/>
                <w:color w:val="auto"/>
              </w:rPr>
              <w:t>Loss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Partnerships</w:t>
            </w:r>
          </w:p>
        </w:tc>
        <w:tc>
          <w:tcPr>
            <w:tcW w:w="780" w:type="dxa"/>
            <w:vAlign w:val="bottom"/>
            <w:vMerge w:val="continue"/>
          </w:tcPr>
          <w:p>
            <w:pPr>
              <w:spacing w:after="0"/>
              <w:rPr>
                <w:sz w:val="12"/>
                <w:szCs w:val="12"/>
                <w:color w:val="auto"/>
              </w:rPr>
            </w:pPr>
          </w:p>
        </w:tc>
        <w:tc>
          <w:tcPr>
            <w:tcW w:w="1140" w:type="dxa"/>
            <w:vAlign w:val="bottom"/>
          </w:tcPr>
          <w:p>
            <w:pPr>
              <w:jc w:val="center"/>
              <w:ind w:left="165"/>
              <w:spacing w:after="0"/>
              <w:rPr>
                <w:sz w:val="20"/>
                <w:szCs w:val="20"/>
                <w:color w:val="auto"/>
              </w:rPr>
            </w:pPr>
            <w:r>
              <w:rPr>
                <w:rFonts w:ascii="Arial" w:cs="Arial" w:eastAsia="Arial" w:hAnsi="Arial"/>
                <w:sz w:val="11"/>
                <w:szCs w:val="11"/>
                <w:b w:val="1"/>
                <w:bCs w:val="1"/>
                <w:color w:val="auto"/>
              </w:rPr>
              <w:t>Partnership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wp:posOffset>
            </wp:positionV>
            <wp:extent cx="7126605" cy="1206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6605" cy="12065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tbl>
      <w:tblPr>
        <w:tblLayout w:type="fixed"/>
        <w:tblInd w:w="20" w:type="dxa"/>
        <w:tblCellMar>
          <w:top w:w="0" w:type="dxa"/>
          <w:left w:w="0" w:type="dxa"/>
          <w:bottom w:w="0" w:type="dxa"/>
          <w:right w:w="0" w:type="dxa"/>
        </w:tblCellMar>
      </w:tblPr>
      <w:tr>
        <w:trPr>
          <w:trHeight w:val="168"/>
        </w:trPr>
        <w:tc>
          <w:tcPr>
            <w:tcW w:w="3660" w:type="dxa"/>
            <w:vAlign w:val="bottom"/>
          </w:tcPr>
          <w:p>
            <w:pPr>
              <w:spacing w:after="0"/>
              <w:rPr>
                <w:sz w:val="20"/>
                <w:szCs w:val="20"/>
                <w:color w:val="auto"/>
              </w:rPr>
            </w:pPr>
            <w:r>
              <w:rPr>
                <w:rFonts w:ascii="Arial" w:cs="Arial" w:eastAsia="Arial" w:hAnsi="Arial"/>
                <w:sz w:val="13"/>
                <w:szCs w:val="13"/>
                <w:color w:val="auto"/>
              </w:rPr>
              <w:t>Equity, December 31,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1,727</w:t>
            </w: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153,063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Cumulative effect of a change in accounting principal</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Net activity from contributions and unearned compensation</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Allocated net income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Distributions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Conversion of redeemable partnership units</w:t>
            </w: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20"/>
                <w:szCs w:val="20"/>
                <w:color w:val="auto"/>
              </w:rPr>
            </w:pPr>
            <w:r>
              <w:rPr>
                <w:rFonts w:ascii="Arial" w:cs="Arial" w:eastAsia="Arial" w:hAnsi="Arial"/>
                <w:sz w:val="13"/>
                <w:szCs w:val="13"/>
                <w:color w:val="auto"/>
                <w:w w:val="97"/>
              </w:rPr>
              <w:t>Adjustment to reflect redeemable partnership units at redemption</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ind w:left="80"/>
              <w:spacing w:after="0"/>
              <w:rPr>
                <w:sz w:val="20"/>
                <w:szCs w:val="20"/>
                <w:color w:val="auto"/>
              </w:rPr>
            </w:pPr>
            <w:r>
              <w:rPr>
                <w:rFonts w:ascii="Arial" w:cs="Arial" w:eastAsia="Arial" w:hAnsi="Arial"/>
                <w:sz w:val="13"/>
                <w:szCs w:val="13"/>
                <w:color w:val="auto"/>
              </w:rPr>
              <w:t>value</w:t>
            </w:r>
          </w:p>
        </w:tc>
        <w:tc>
          <w:tcPr>
            <w:tcW w:w="8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Effective portion of interest rate contracts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Amortization of interest rate contracts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20"/>
                <w:szCs w:val="20"/>
                <w:color w:val="auto"/>
              </w:rPr>
            </w:pPr>
            <w:r>
              <w:rPr>
                <w:rFonts w:ascii="Arial" w:cs="Arial" w:eastAsia="Arial" w:hAnsi="Arial"/>
                <w:sz w:val="13"/>
                <w:szCs w:val="13"/>
                <w:color w:val="auto"/>
              </w:rPr>
              <w:t>Contributions from noncontrolling interests in property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ind w:left="80"/>
              <w:spacing w:after="0"/>
              <w:rPr>
                <w:sz w:val="20"/>
                <w:szCs w:val="20"/>
                <w:color w:val="auto"/>
              </w:rPr>
            </w:pPr>
            <w:r>
              <w:rPr>
                <w:rFonts w:ascii="Arial" w:cs="Arial" w:eastAsia="Arial" w:hAnsi="Arial"/>
                <w:sz w:val="13"/>
                <w:szCs w:val="13"/>
                <w:color w:val="auto"/>
              </w:rPr>
              <w:t>partnerships</w:t>
            </w:r>
          </w:p>
        </w:tc>
        <w:tc>
          <w:tcPr>
            <w:tcW w:w="8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3"/>
                <w:szCs w:val="13"/>
                <w:color w:val="auto"/>
              </w:rPr>
              <w:t>Distributions to noncontrolling interests in property partnerships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20"/>
                <w:szCs w:val="20"/>
                <w:color w:val="auto"/>
              </w:rPr>
            </w:pPr>
            <w:r>
              <w:rPr>
                <w:rFonts w:ascii="Arial" w:cs="Arial" w:eastAsia="Arial" w:hAnsi="Arial"/>
                <w:sz w:val="13"/>
                <w:szCs w:val="13"/>
                <w:color w:val="auto"/>
              </w:rPr>
              <w:t>Equity, December 31, 2020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1,731</w:t>
            </w: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153,988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Net activity from contributions and unearned compensation</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Allocated net income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Distributions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20"/>
                <w:szCs w:val="20"/>
                <w:color w:val="auto"/>
              </w:rPr>
            </w:pPr>
            <w:r>
              <w:rPr>
                <w:rFonts w:ascii="Arial" w:cs="Arial" w:eastAsia="Arial" w:hAnsi="Arial"/>
                <w:sz w:val="13"/>
                <w:szCs w:val="13"/>
                <w:color w:val="auto"/>
              </w:rPr>
              <w:t>Issuance of operating partnership units for 360 Park Avenue</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20"/>
                <w:szCs w:val="20"/>
                <w:color w:val="auto"/>
              </w:rPr>
            </w:pPr>
            <w:r>
              <w:rPr>
                <w:rFonts w:ascii="Arial" w:cs="Arial" w:eastAsia="Arial" w:hAnsi="Arial"/>
                <w:sz w:val="13"/>
                <w:szCs w:val="13"/>
                <w:color w:val="auto"/>
              </w:rPr>
              <w:t>South</w:t>
            </w:r>
          </w:p>
        </w:tc>
        <w:tc>
          <w:tcPr>
            <w:tcW w:w="8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Preferred unit redemption</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Preferred unit redemption charge</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Conversion of redeemable partnership units</w:t>
            </w: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20"/>
                <w:szCs w:val="20"/>
                <w:color w:val="auto"/>
              </w:rPr>
            </w:pPr>
            <w:r>
              <w:rPr>
                <w:rFonts w:ascii="Arial" w:cs="Arial" w:eastAsia="Arial" w:hAnsi="Arial"/>
                <w:sz w:val="13"/>
                <w:szCs w:val="13"/>
                <w:color w:val="auto"/>
                <w:w w:val="97"/>
              </w:rPr>
              <w:t>Adjustment to reflect redeemable partnership units at redemption</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ind w:left="80"/>
              <w:spacing w:after="0"/>
              <w:rPr>
                <w:sz w:val="20"/>
                <w:szCs w:val="20"/>
                <w:color w:val="auto"/>
              </w:rPr>
            </w:pPr>
            <w:r>
              <w:rPr>
                <w:rFonts w:ascii="Arial" w:cs="Arial" w:eastAsia="Arial" w:hAnsi="Arial"/>
                <w:sz w:val="13"/>
                <w:szCs w:val="13"/>
                <w:color w:val="auto"/>
              </w:rPr>
              <w:t>value</w:t>
            </w:r>
          </w:p>
        </w:tc>
        <w:tc>
          <w:tcPr>
            <w:tcW w:w="8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Effective portion of interest rate contracts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color w:val="auto"/>
              </w:rPr>
              <w:t>Amortization of interest rate contracts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20"/>
                <w:szCs w:val="20"/>
                <w:color w:val="auto"/>
              </w:rPr>
            </w:pPr>
            <w:r>
              <w:rPr>
                <w:rFonts w:ascii="Arial" w:cs="Arial" w:eastAsia="Arial" w:hAnsi="Arial"/>
                <w:sz w:val="13"/>
                <w:szCs w:val="13"/>
                <w:color w:val="auto"/>
              </w:rPr>
              <w:t>Contributions from noncontrolling interests in property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20"/>
                <w:szCs w:val="20"/>
                <w:color w:val="auto"/>
              </w:rPr>
            </w:pPr>
            <w:r>
              <w:rPr>
                <w:rFonts w:ascii="Arial" w:cs="Arial" w:eastAsia="Arial" w:hAnsi="Arial"/>
                <w:sz w:val="13"/>
                <w:szCs w:val="13"/>
                <w:color w:val="auto"/>
              </w:rPr>
              <w:t>partnerships</w:t>
            </w:r>
          </w:p>
        </w:tc>
        <w:tc>
          <w:tcPr>
            <w:tcW w:w="8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3"/>
                <w:szCs w:val="13"/>
                <w:color w:val="auto"/>
              </w:rPr>
              <w:t>Distributions to noncontrolling interests in property partnerships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20"/>
                <w:szCs w:val="20"/>
                <w:color w:val="auto"/>
              </w:rPr>
            </w:pPr>
            <w:r>
              <w:rPr>
                <w:rFonts w:ascii="Arial" w:cs="Arial" w:eastAsia="Arial" w:hAnsi="Arial"/>
                <w:sz w:val="13"/>
                <w:szCs w:val="13"/>
                <w:color w:val="auto"/>
              </w:rPr>
              <w:t>Equity, December 31, 2021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1,746</w:t>
            </w: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154,799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3,380,175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193,623</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(48,335)</w:t>
            </w: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1,728,689</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$ 5,254,152</w:t>
            </w:r>
          </w:p>
        </w:tc>
        <w:tc>
          <w:tcPr>
            <w:tcW w:w="1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2,468,753</w:t>
            </w:r>
          </w:p>
        </w:tc>
      </w:tr>
      <w:tr>
        <w:trPr>
          <w:trHeight w:val="178"/>
        </w:trPr>
        <w:tc>
          <w:tcPr>
            <w:tcW w:w="700" w:type="dxa"/>
            <w:vAlign w:val="bottom"/>
          </w:tcPr>
          <w:p>
            <w:pPr>
              <w:jc w:val="right"/>
              <w:ind w:right="37"/>
              <w:spacing w:after="0"/>
              <w:rPr>
                <w:sz w:val="20"/>
                <w:szCs w:val="20"/>
                <w:color w:val="auto"/>
              </w:rPr>
            </w:pPr>
            <w:r>
              <w:rPr>
                <w:rFonts w:ascii="Arial" w:cs="Arial" w:eastAsia="Arial" w:hAnsi="Arial"/>
                <w:sz w:val="13"/>
                <w:szCs w:val="13"/>
                <w:color w:val="auto"/>
              </w:rPr>
              <w:t>(1,505)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10,062</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10,062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39,318</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882,275</w:t>
            </w:r>
          </w:p>
        </w:tc>
        <w:tc>
          <w:tcPr>
            <w:tcW w:w="720" w:type="dxa"/>
            <w:vAlign w:val="bottom"/>
          </w:tcPr>
          <w:p>
            <w:pPr>
              <w:jc w:val="right"/>
              <w:spacing w:after="0"/>
              <w:rPr>
                <w:sz w:val="20"/>
                <w:szCs w:val="20"/>
                <w:color w:val="auto"/>
              </w:rPr>
            </w:pPr>
            <w:r>
              <w:rPr>
                <w:rFonts w:ascii="Arial" w:cs="Arial" w:eastAsia="Arial" w:hAnsi="Arial"/>
                <w:sz w:val="13"/>
                <w:szCs w:val="13"/>
                <w:color w:val="auto"/>
              </w:rPr>
              <w:t>10,500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48,260</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941,035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97,704</w:t>
            </w:r>
          </w:p>
        </w:tc>
      </w:tr>
      <w:tr>
        <w:trPr>
          <w:trHeight w:val="178"/>
        </w:trPr>
        <w:tc>
          <w:tcPr>
            <w:tcW w:w="700" w:type="dxa"/>
            <w:vAlign w:val="bottom"/>
          </w:tcPr>
          <w:p>
            <w:pPr>
              <w:jc w:val="right"/>
              <w:ind w:right="37"/>
              <w:spacing w:after="0"/>
              <w:rPr>
                <w:sz w:val="20"/>
                <w:szCs w:val="20"/>
                <w:color w:val="auto"/>
              </w:rPr>
            </w:pPr>
            <w:r>
              <w:rPr>
                <w:rFonts w:ascii="Arial" w:cs="Arial" w:eastAsia="Arial" w:hAnsi="Arial"/>
                <w:sz w:val="13"/>
                <w:szCs w:val="13"/>
                <w:color w:val="auto"/>
              </w:rPr>
              <w:t>(609,852)</w:t>
            </w:r>
          </w:p>
        </w:tc>
        <w:tc>
          <w:tcPr>
            <w:tcW w:w="720" w:type="dxa"/>
            <w:vAlign w:val="bottom"/>
          </w:tcPr>
          <w:p>
            <w:pPr>
              <w:jc w:val="right"/>
              <w:spacing w:after="0"/>
              <w:rPr>
                <w:sz w:val="20"/>
                <w:szCs w:val="20"/>
                <w:color w:val="auto"/>
              </w:rPr>
            </w:pPr>
            <w:r>
              <w:rPr>
                <w:rFonts w:ascii="Arial" w:cs="Arial" w:eastAsia="Arial" w:hAnsi="Arial"/>
                <w:sz w:val="13"/>
                <w:szCs w:val="13"/>
                <w:color w:val="auto"/>
              </w:rPr>
              <w:t>(10,500)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(620,352)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(68,921)</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29,689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29,689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(29,689)</w:t>
            </w:r>
          </w:p>
        </w:tc>
      </w:tr>
      <w:tr>
        <w:trPr>
          <w:trHeight w:val="296"/>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863,795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863,795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(863,795)</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(7,066)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(7,066)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(782)</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5,511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576</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6,087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610</w:t>
            </w:r>
          </w:p>
        </w:tc>
      </w:tr>
      <w:tr>
        <w:trPr>
          <w:trHeight w:val="296"/>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8,219</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8,219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(58,811)</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(58,811)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4,554,639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193,623</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(49,890)</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1,726,933</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6,425,305</w:t>
            </w: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1,643,024</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26,614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26,614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45,773</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512,474</w:t>
            </w:r>
          </w:p>
        </w:tc>
        <w:tc>
          <w:tcPr>
            <w:tcW w:w="720" w:type="dxa"/>
            <w:vAlign w:val="bottom"/>
          </w:tcPr>
          <w:p>
            <w:pPr>
              <w:jc w:val="right"/>
              <w:spacing w:after="0"/>
              <w:rPr>
                <w:sz w:val="20"/>
                <w:szCs w:val="20"/>
                <w:color w:val="auto"/>
              </w:rPr>
            </w:pPr>
            <w:r>
              <w:rPr>
                <w:rFonts w:ascii="Arial" w:cs="Arial" w:eastAsia="Arial" w:hAnsi="Arial"/>
                <w:sz w:val="13"/>
                <w:szCs w:val="13"/>
                <w:color w:val="auto"/>
              </w:rPr>
              <w:t>2,560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70,806</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585,840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55,931</w:t>
            </w:r>
          </w:p>
        </w:tc>
      </w:tr>
      <w:tr>
        <w:trPr>
          <w:trHeight w:val="178"/>
        </w:trPr>
        <w:tc>
          <w:tcPr>
            <w:tcW w:w="700" w:type="dxa"/>
            <w:vAlign w:val="bottom"/>
          </w:tcPr>
          <w:p>
            <w:pPr>
              <w:jc w:val="right"/>
              <w:ind w:right="37"/>
              <w:spacing w:after="0"/>
              <w:rPr>
                <w:sz w:val="20"/>
                <w:szCs w:val="20"/>
                <w:color w:val="auto"/>
              </w:rPr>
            </w:pPr>
            <w:r>
              <w:rPr>
                <w:rFonts w:ascii="Arial" w:cs="Arial" w:eastAsia="Arial" w:hAnsi="Arial"/>
                <w:sz w:val="13"/>
                <w:szCs w:val="13"/>
                <w:color w:val="auto"/>
              </w:rPr>
              <w:t>(612,461)</w:t>
            </w:r>
          </w:p>
        </w:tc>
        <w:tc>
          <w:tcPr>
            <w:tcW w:w="720" w:type="dxa"/>
            <w:vAlign w:val="bottom"/>
          </w:tcPr>
          <w:p>
            <w:pPr>
              <w:jc w:val="right"/>
              <w:spacing w:after="0"/>
              <w:rPr>
                <w:sz w:val="20"/>
                <w:szCs w:val="20"/>
                <w:color w:val="auto"/>
              </w:rPr>
            </w:pPr>
            <w:r>
              <w:rPr>
                <w:rFonts w:ascii="Arial" w:cs="Arial" w:eastAsia="Arial" w:hAnsi="Arial"/>
                <w:sz w:val="13"/>
                <w:szCs w:val="13"/>
                <w:color w:val="auto"/>
              </w:rPr>
              <w:t>(2,560)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(615,021)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(68,822)</w:t>
            </w:r>
          </w:p>
        </w:tc>
      </w:tr>
      <w:tr>
        <w:trPr>
          <w:trHeight w:val="296"/>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99,689</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(193,623)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(193,623)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00" w:type="dxa"/>
            <w:vAlign w:val="bottom"/>
          </w:tcPr>
          <w:p>
            <w:pPr>
              <w:jc w:val="right"/>
              <w:ind w:right="37"/>
              <w:spacing w:after="0"/>
              <w:rPr>
                <w:sz w:val="20"/>
                <w:szCs w:val="20"/>
                <w:color w:val="auto"/>
              </w:rPr>
            </w:pPr>
            <w:r>
              <w:rPr>
                <w:rFonts w:ascii="Arial" w:cs="Arial" w:eastAsia="Arial" w:hAnsi="Arial"/>
                <w:sz w:val="13"/>
                <w:szCs w:val="13"/>
                <w:color w:val="auto"/>
              </w:rPr>
              <w:t>(6,412)</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(6,412)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18,386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18,386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(18,386)</w:t>
            </w:r>
          </w:p>
        </w:tc>
      </w:tr>
      <w:tr>
        <w:trPr>
          <w:trHeight w:val="296"/>
        </w:trPr>
        <w:tc>
          <w:tcPr>
            <w:tcW w:w="700" w:type="dxa"/>
            <w:vAlign w:val="bottom"/>
          </w:tcPr>
          <w:p>
            <w:pPr>
              <w:jc w:val="right"/>
              <w:ind w:right="37"/>
              <w:spacing w:after="0"/>
              <w:rPr>
                <w:sz w:val="20"/>
                <w:szCs w:val="20"/>
                <w:color w:val="auto"/>
              </w:rPr>
            </w:pPr>
            <w:r>
              <w:rPr>
                <w:rFonts w:ascii="Arial" w:cs="Arial" w:eastAsia="Arial" w:hAnsi="Arial"/>
                <w:sz w:val="13"/>
                <w:szCs w:val="13"/>
                <w:color w:val="auto"/>
              </w:rPr>
              <w:t>(319,950)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(319,950)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319,950</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7,703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7,703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841</w:t>
            </w:r>
          </w:p>
        </w:tc>
      </w:tr>
      <w:tr>
        <w:trPr>
          <w:trHeight w:val="178"/>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576</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603</w:t>
            </w:r>
          </w:p>
        </w:tc>
      </w:tr>
      <w:tr>
        <w:trPr>
          <w:trHeight w:val="296"/>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18,002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(259,764)</w:t>
            </w:r>
          </w:p>
        </w:tc>
        <w:tc>
          <w:tcPr>
            <w:tcW w:w="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(259,764)</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4,173,290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(36,662)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1,556,553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5,693,181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2,078,603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-2980690</wp:posOffset>
            </wp:positionV>
            <wp:extent cx="7126605" cy="113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6605" cy="1130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-2755265</wp:posOffset>
            </wp:positionV>
            <wp:extent cx="7126605" cy="113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26605" cy="1130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-2529205</wp:posOffset>
            </wp:positionV>
            <wp:extent cx="7126605" cy="1879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26605" cy="18796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-2228215</wp:posOffset>
            </wp:positionV>
            <wp:extent cx="7126605" cy="113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26605" cy="1130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-1927225</wp:posOffset>
            </wp:positionV>
            <wp:extent cx="7126605" cy="1934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26605" cy="1934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20"/>
            <w:col w:w="5480"/>
          </w:cols>
          <w:pgMar w:left="320" w:top="281" w:right="339" w:bottom="1440" w:gutter="0" w:footer="0" w:header="0"/>
          <w:type w:val="continuous"/>
        </w:sect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23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BOSTON PROPERTIES LIMITED PARTNERSHIP</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CAPITAL AND NONCONTROLLING INTERESTS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660" w:type="dxa"/>
            <w:vAlign w:val="bottom"/>
          </w:tcPr>
          <w:p>
            <w:pPr>
              <w:spacing w:after="0"/>
              <w:rPr>
                <w:sz w:val="13"/>
                <w:szCs w:val="13"/>
                <w:color w:val="auto"/>
              </w:rPr>
            </w:pPr>
          </w:p>
        </w:tc>
        <w:tc>
          <w:tcPr>
            <w:tcW w:w="920" w:type="dxa"/>
            <w:vAlign w:val="bottom"/>
            <w:tcBorders>
              <w:bottom w:val="single" w:sz="8" w:color="auto"/>
            </w:tcBorders>
            <w:gridSpan w:val="3"/>
          </w:tcPr>
          <w:p>
            <w:pPr>
              <w:ind w:left="620"/>
              <w:spacing w:after="0"/>
              <w:rPr>
                <w:sz w:val="20"/>
                <w:szCs w:val="20"/>
                <w:color w:val="auto"/>
              </w:rPr>
            </w:pPr>
            <w:r>
              <w:rPr>
                <w:rFonts w:ascii="Arial" w:cs="Arial" w:eastAsia="Arial" w:hAnsi="Arial"/>
                <w:sz w:val="11"/>
                <w:szCs w:val="11"/>
                <w:b w:val="1"/>
                <w:bCs w:val="1"/>
                <w:color w:val="auto"/>
              </w:rPr>
              <w:t>Units</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Capital</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rPr>
              <w:t>Partners’ Capital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rPr>
              <w:t>Accumulated</w:t>
            </w:r>
          </w:p>
        </w:tc>
        <w:tc>
          <w:tcPr>
            <w:tcW w:w="960" w:type="dxa"/>
            <w:vAlign w:val="bottom"/>
            <w:gridSpan w:val="2"/>
          </w:tcPr>
          <w:p>
            <w:pPr>
              <w:jc w:val="center"/>
              <w:ind w:right="60"/>
              <w:spacing w:after="0" w:line="117" w:lineRule="exact"/>
              <w:rPr>
                <w:sz w:val="20"/>
                <w:szCs w:val="20"/>
                <w:color w:val="auto"/>
              </w:rPr>
            </w:pPr>
            <w:r>
              <w:rPr>
                <w:rFonts w:ascii="Arial" w:cs="Arial" w:eastAsia="Arial" w:hAnsi="Arial"/>
                <w:sz w:val="11"/>
                <w:szCs w:val="11"/>
                <w:b w:val="1"/>
                <w:bCs w:val="1"/>
                <w:color w:val="auto"/>
                <w:w w:val="99"/>
              </w:rPr>
              <w:t>Noncontrolling</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9"/>
              <w:spacing w:after="0" w:line="117"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9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General</w:t>
            </w: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Limited</w:t>
            </w:r>
          </w:p>
        </w:tc>
        <w:tc>
          <w:tcPr>
            <w:tcW w:w="1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Preferred</w:t>
            </w:r>
          </w:p>
        </w:tc>
        <w:tc>
          <w:tcPr>
            <w:tcW w:w="80" w:type="dxa"/>
            <w:vAlign w:val="bottom"/>
          </w:tcPr>
          <w:p>
            <w:pPr>
              <w:spacing w:after="0"/>
              <w:rPr>
                <w:sz w:val="9"/>
                <w:szCs w:val="9"/>
                <w:color w:val="auto"/>
              </w:rPr>
            </w:pPr>
          </w:p>
        </w:tc>
        <w:tc>
          <w:tcPr>
            <w:tcW w:w="100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rPr>
              <w:t>Other</w:t>
            </w:r>
          </w:p>
        </w:tc>
        <w:tc>
          <w:tcPr>
            <w:tcW w:w="960" w:type="dxa"/>
            <w:vAlign w:val="bottom"/>
            <w:gridSpan w:val="2"/>
          </w:tcPr>
          <w:p>
            <w:pPr>
              <w:jc w:val="center"/>
              <w:ind w:right="60"/>
              <w:spacing w:after="0" w:line="107" w:lineRule="exact"/>
              <w:rPr>
                <w:sz w:val="20"/>
                <w:szCs w:val="20"/>
                <w:color w:val="auto"/>
              </w:rPr>
            </w:pPr>
            <w:r>
              <w:rPr>
                <w:rFonts w:ascii="Arial" w:cs="Arial" w:eastAsia="Arial" w:hAnsi="Arial"/>
                <w:sz w:val="11"/>
                <w:szCs w:val="11"/>
                <w:b w:val="1"/>
                <w:bCs w:val="1"/>
                <w:color w:val="auto"/>
              </w:rPr>
              <w:t>Interests -</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center"/>
              <w:ind w:right="39"/>
              <w:spacing w:after="0" w:line="107" w:lineRule="exact"/>
              <w:rPr>
                <w:sz w:val="20"/>
                <w:szCs w:val="20"/>
                <w:color w:val="auto"/>
              </w:rPr>
            </w:pPr>
            <w:r>
              <w:rPr>
                <w:rFonts w:ascii="Arial" w:cs="Arial" w:eastAsia="Arial" w:hAnsi="Arial"/>
                <w:sz w:val="11"/>
                <w:szCs w:val="11"/>
                <w:b w:val="1"/>
                <w:bCs w:val="1"/>
                <w:color w:val="auto"/>
                <w:w w:val="98"/>
              </w:rPr>
              <w:t>Interests -</w:t>
            </w: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(General and</w:t>
            </w: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Comprehensive</w:t>
            </w:r>
          </w:p>
        </w:tc>
        <w:tc>
          <w:tcPr>
            <w:tcW w:w="960" w:type="dxa"/>
            <w:vAlign w:val="bottom"/>
            <w:gridSpan w:val="2"/>
          </w:tcPr>
          <w:p>
            <w:pPr>
              <w:jc w:val="center"/>
              <w:ind w:right="60"/>
              <w:spacing w:after="0" w:line="107" w:lineRule="exact"/>
              <w:rPr>
                <w:sz w:val="20"/>
                <w:szCs w:val="20"/>
                <w:color w:val="auto"/>
              </w:rPr>
            </w:pPr>
            <w:r>
              <w:rPr>
                <w:rFonts w:ascii="Arial" w:cs="Arial" w:eastAsia="Arial" w:hAnsi="Arial"/>
                <w:sz w:val="11"/>
                <w:szCs w:val="11"/>
                <w:b w:val="1"/>
                <w:bCs w:val="1"/>
                <w:color w:val="auto"/>
              </w:rPr>
              <w:t>Property</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center"/>
              <w:ind w:right="39"/>
              <w:spacing w:after="0" w:line="107"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Partner</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Partner</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Limited Partners)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Units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rPr>
              <w:t>Loss</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Partnerships</w:t>
            </w: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 Capital</w:t>
            </w:r>
          </w:p>
        </w:tc>
        <w:tc>
          <w:tcPr>
            <w:tcW w:w="18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Partnership Units</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Arial" w:cs="Arial" w:eastAsia="Arial" w:hAnsi="Arial"/>
                <w:sz w:val="13"/>
                <w:szCs w:val="13"/>
                <w:color w:val="auto"/>
              </w:rPr>
              <w:t>Net activity from contributions and unearned compensation</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8,291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46,408</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Allocated net income for the period</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74,857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935,342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96,780</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Arial" w:cs="Arial" w:eastAsia="Arial" w:hAnsi="Arial"/>
                <w:sz w:val="13"/>
                <w:szCs w:val="13"/>
                <w:color w:val="auto"/>
              </w:rPr>
              <w:t>Distributions</w:t>
            </w:r>
          </w:p>
        </w:tc>
        <w:tc>
          <w:tcPr>
            <w:tcW w:w="9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(614,412)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(614,412)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(71,714)</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Conversion of redeemable partnership units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35"/>
        </w:trPr>
        <w:tc>
          <w:tcPr>
            <w:tcW w:w="3660" w:type="dxa"/>
            <w:vAlign w:val="bottom"/>
          </w:tcPr>
          <w:p>
            <w:pPr>
              <w:spacing w:after="0" w:line="134" w:lineRule="exact"/>
              <w:rPr>
                <w:sz w:val="20"/>
                <w:szCs w:val="20"/>
                <w:color w:val="auto"/>
              </w:rPr>
            </w:pPr>
            <w:r>
              <w:rPr>
                <w:rFonts w:ascii="Arial" w:cs="Arial" w:eastAsia="Arial" w:hAnsi="Arial"/>
                <w:sz w:val="13"/>
                <w:szCs w:val="13"/>
                <w:color w:val="auto"/>
                <w:w w:val="97"/>
              </w:rPr>
              <w:t>Adjustment to reflect redeemable partnership units at redemption</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865,235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865,235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(865,235)</w:t>
            </w:r>
          </w:p>
        </w:tc>
        <w:tc>
          <w:tcPr>
            <w:tcW w:w="0" w:type="dxa"/>
            <w:vAlign w:val="bottom"/>
          </w:tcPr>
          <w:p>
            <w:pPr>
              <w:spacing w:after="0"/>
              <w:rPr>
                <w:sz w:val="1"/>
                <w:szCs w:val="1"/>
                <w:color w:val="auto"/>
              </w:rPr>
            </w:pPr>
          </w:p>
        </w:tc>
      </w:tr>
      <w:tr>
        <w:trPr>
          <w:trHeight w:val="157"/>
        </w:trPr>
        <w:tc>
          <w:tcPr>
            <w:tcW w:w="3660" w:type="dxa"/>
            <w:vAlign w:val="bottom"/>
          </w:tcPr>
          <w:p>
            <w:pPr>
              <w:ind w:left="80"/>
              <w:spacing w:after="0"/>
              <w:rPr>
                <w:sz w:val="20"/>
                <w:szCs w:val="20"/>
                <w:color w:val="auto"/>
              </w:rPr>
            </w:pPr>
            <w:r>
              <w:rPr>
                <w:rFonts w:ascii="Arial" w:cs="Arial" w:eastAsia="Arial" w:hAnsi="Arial"/>
                <w:sz w:val="13"/>
                <w:szCs w:val="13"/>
                <w:color w:val="auto"/>
              </w:rPr>
              <w:t>value</w:t>
            </w:r>
          </w:p>
        </w:tc>
        <w:tc>
          <w:tcPr>
            <w:tcW w:w="92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Effective portion of interest rate contracts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17,435</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Arial" w:cs="Arial" w:eastAsia="Arial" w:hAnsi="Arial"/>
                <w:sz w:val="13"/>
                <w:szCs w:val="13"/>
                <w:color w:val="auto"/>
              </w:rPr>
              <w:t>Amortization of interest rate contracts</w:t>
            </w:r>
          </w:p>
        </w:tc>
        <w:tc>
          <w:tcPr>
            <w:tcW w:w="9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5,509</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576</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6,085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39"/>
        </w:trPr>
        <w:tc>
          <w:tcPr>
            <w:tcW w:w="36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Contributions from noncontrolling interests in property</w:t>
            </w:r>
          </w:p>
        </w:tc>
        <w:tc>
          <w:tcPr>
            <w:tcW w:w="9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Distributions to noncontrolling interests in property partnerships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(85,518)</w:t>
            </w: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(85,518)</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Equity, December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5,299,428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(13,718)</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1,547,317</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$ 6,833,027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1,280,886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4"/>
        </w:trPr>
        <w:tc>
          <w:tcPr>
            <w:tcW w:w="7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1,032,122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641,771</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1,038,739</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742,293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709,035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676,666</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Amortization of right of use assets - operating leases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Non-cash compensation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52,026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50,860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44,142</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85,110</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Distributions of net cash flow from operations of unconsolidated joint ventures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21,542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31,892</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Losses (gains) from investments in securities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Allowance for current expected credit losses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1,849</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Non-cash portion of 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23,384</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Settlement of accreted debt discount on redemption of unsecured senior notes</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Losses from early extinguishments of debt</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Other income - assignment fee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on sales of real estate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(441,075)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(631,945)</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Gain on sales-type lease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(10,058)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Unrealized loss on non-real estate investment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Change in assets and liabilities: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and other receivables,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rental income,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(101,548)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(97,099)</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(20,811)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12,488</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Lease liabilities - finance leases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Lease liabilities - operating leases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(23,599)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r>
      <w:tr>
        <w:trPr>
          <w:trHeight w:val="187"/>
        </w:trPr>
        <w:tc>
          <w:tcPr>
            <w:tcW w:w="7140" w:type="dxa"/>
            <w:vAlign w:val="bottom"/>
          </w:tcPr>
          <w:p>
            <w:pPr>
              <w:ind w:left="580"/>
              <w:spacing w:after="0"/>
              <w:rPr>
                <w:sz w:val="20"/>
                <w:szCs w:val="20"/>
                <w:color w:val="auto"/>
              </w:rPr>
            </w:pPr>
            <w:r>
              <w:rPr>
                <w:rFonts w:ascii="Arial" w:cs="Arial" w:eastAsia="Arial" w:hAnsi="Arial"/>
                <w:sz w:val="14"/>
                <w:szCs w:val="14"/>
                <w:color w:val="auto"/>
              </w:rPr>
              <w:t>Accrued interest payable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8,989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(10,839)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16,211</w:t>
            </w:r>
          </w:p>
        </w:tc>
      </w:tr>
      <w:tr>
        <w:trPr>
          <w:trHeight w:val="192"/>
        </w:trPr>
        <w:tc>
          <w:tcPr>
            <w:tcW w:w="7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17,629</w:t>
            </w:r>
          </w:p>
        </w:tc>
      </w:tr>
      <w:tr>
        <w:trPr>
          <w:trHeight w:val="187"/>
        </w:trPr>
        <w:tc>
          <w:tcPr>
            <w:tcW w:w="71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Tenant leasing costs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(84,057)</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(62,850)</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(79,772)</w:t>
            </w:r>
          </w:p>
        </w:tc>
      </w:tr>
      <w:tr>
        <w:trPr>
          <w:trHeight w:val="184"/>
        </w:trPr>
        <w:tc>
          <w:tcPr>
            <w:tcW w:w="7140" w:type="dxa"/>
            <w:vAlign w:val="bottom"/>
            <w:shd w:val="clear" w:color="auto" w:fill="CCEEFF"/>
          </w:tcPr>
          <w:p>
            <w:pPr>
              <w:ind w:left="980"/>
              <w:spacing w:after="0"/>
              <w:rPr>
                <w:sz w:val="20"/>
                <w:szCs w:val="20"/>
                <w:color w:val="auto"/>
              </w:rPr>
            </w:pPr>
            <w:r>
              <w:rPr>
                <w:rFonts w:ascii="Arial" w:cs="Arial" w:eastAsia="Arial" w:hAnsi="Arial"/>
                <w:sz w:val="14"/>
                <w:szCs w:val="14"/>
                <w:color w:val="auto"/>
              </w:rPr>
              <w:t>Total adjustments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250,277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491,456</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118,101</w:t>
            </w:r>
          </w:p>
        </w:tc>
      </w:tr>
      <w:tr>
        <w:trPr>
          <w:trHeight w:val="179"/>
        </w:trPr>
        <w:tc>
          <w:tcPr>
            <w:tcW w:w="714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1,282,399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1,133,227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1,156,840</w:t>
            </w:r>
          </w:p>
        </w:tc>
      </w:tr>
      <w:tr>
        <w:trPr>
          <w:trHeight w:val="17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Acquisitions of real estate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(1,320,273)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(222,260)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(137,976)</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Construction in progress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(500,273)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(513,878)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(482,507)</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Building and other capital improvements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(177,004)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(150,998)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(160,126)</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Tenant improvements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(218,685)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(263,952)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(234,423)</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Proceeds from sales of real estate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834,770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179,887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519,303</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assignment fee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Capital contributions to unconsolidated joint ventures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(277,581)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(98,152)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(172,436)</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Capital distributions from unconsolidated joint ventures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55,298</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Proceeds from sale of investment in unconsolidated joint venture</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17,789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in non-real estate investments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r>
      <w:tr>
        <w:trPr>
          <w:trHeight w:val="180"/>
        </w:trPr>
        <w:tc>
          <w:tcPr>
            <w:tcW w:w="7140" w:type="dxa"/>
            <w:vAlign w:val="bottom"/>
          </w:tcPr>
          <w:p>
            <w:pPr>
              <w:ind w:left="300"/>
              <w:spacing w:after="0"/>
              <w:rPr>
                <w:sz w:val="20"/>
                <w:szCs w:val="20"/>
                <w:color w:val="auto"/>
              </w:rPr>
            </w:pPr>
            <w:r>
              <w:rPr>
                <w:rFonts w:ascii="Arial" w:cs="Arial" w:eastAsia="Arial" w:hAnsi="Arial"/>
                <w:sz w:val="14"/>
                <w:szCs w:val="14"/>
                <w:color w:val="auto"/>
              </w:rPr>
              <w:t>Issuance of notes receivable, net</w:t>
            </w:r>
          </w:p>
        </w:tc>
        <w:tc>
          <w:tcPr>
            <w:tcW w:w="2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(9,800)</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notes receivable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6,397</w:t>
            </w:r>
          </w:p>
        </w:tc>
      </w:tr>
      <w:tr>
        <w:trPr>
          <w:trHeight w:val="187"/>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Investments in securities, net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w:t>
            </w:r>
          </w:p>
        </w:tc>
      </w:tr>
      <w:tr>
        <w:trPr>
          <w:trHeight w:val="184"/>
        </w:trPr>
        <w:tc>
          <w:tcPr>
            <w:tcW w:w="714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(1,602,802)</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(1,039,956)</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(613,719)</w:t>
            </w:r>
          </w:p>
        </w:tc>
      </w:tr>
      <w:tr>
        <w:trPr>
          <w:trHeight w:val="167"/>
        </w:trPr>
        <w:tc>
          <w:tcPr>
            <w:tcW w:w="71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mortgage notes payable</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1,201,388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Repayments of mortgage notes payable</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(832,296)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(17,168)</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senior notes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749,557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1,695,996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1,248,125</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Redemption of unsecured senior notes</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(1,841,500)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unsecured line of credit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770,000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265,000</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Repayments of unsecured line of credit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(625,000)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(265,000)</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unsecured term loan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Repayment of unsecured term loan</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Redemption of preferred units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Payments on finance lease obligations</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financing costs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(20,757)</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(10,416)</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Debt issuance costs</w:t>
            </w:r>
          </w:p>
        </w:tc>
        <w:tc>
          <w:tcPr>
            <w:tcW w:w="2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(16,186)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Debt prepayment and extinguishment costs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Net activity from equity transactions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3,277</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(685,019)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(683,753)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(688,904)</w:t>
            </w: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Contributions from noncontrolling interests in property partnerships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18,002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8,219</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(85,518)</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(259,764)</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(58,811)</w:t>
            </w:r>
          </w:p>
        </w:tc>
      </w:tr>
      <w:tr>
        <w:trPr>
          <w:trHeight w:val="179"/>
        </w:trPr>
        <w:tc>
          <w:tcPr>
            <w:tcW w:w="714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556,057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(1,311,442)</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484,322</w:t>
            </w:r>
          </w:p>
        </w:tc>
      </w:tr>
      <w:tr>
        <w:trPr>
          <w:trHeight w:val="184"/>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and cash held in escrows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235,654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(1,218,171)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1,027,443</w:t>
            </w:r>
          </w:p>
        </w:tc>
      </w:tr>
      <w:tr>
        <w:trPr>
          <w:trHeight w:val="18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1,719,329</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691,886</w:t>
            </w:r>
          </w:p>
        </w:tc>
      </w:tr>
      <w:tr>
        <w:trPr>
          <w:trHeight w:val="20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736,812</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501,158</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1,719,329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of cash and cash equivalents and cash held in escrows: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452,692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1,668,742</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644,950</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48,466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50,587</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46,936</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1,719,329</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691,886</w:t>
            </w:r>
          </w:p>
        </w:tc>
      </w:tr>
      <w:tr>
        <w:trPr>
          <w:trHeight w:val="208"/>
        </w:trPr>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7"/>
        </w:trPr>
        <w:tc>
          <w:tcPr>
            <w:tcW w:w="7140" w:type="dxa"/>
            <w:vAlign w:val="bottom"/>
          </w:tcPr>
          <w:p>
            <w:pPr>
              <w:ind w:left="30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690,333</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452,692</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1,668,742</w:t>
            </w: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end of period</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46,479</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48,466</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50,587</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501,158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1,719,329</w:t>
            </w:r>
          </w:p>
        </w:tc>
      </w:tr>
      <w:tr>
        <w:trPr>
          <w:trHeight w:val="208"/>
        </w:trPr>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7"/>
        </w:trPr>
        <w:tc>
          <w:tcPr>
            <w:tcW w:w="7140" w:type="dxa"/>
            <w:vAlign w:val="bottom"/>
          </w:tcPr>
          <w:p>
            <w:pPr>
              <w:ind w:left="20"/>
              <w:spacing w:after="0"/>
              <w:rPr>
                <w:sz w:val="20"/>
                <w:szCs w:val="20"/>
                <w:color w:val="auto"/>
              </w:rPr>
            </w:pPr>
            <w:r>
              <w:rPr>
                <w:rFonts w:ascii="Arial" w:cs="Arial" w:eastAsia="Arial" w:hAnsi="Arial"/>
                <w:sz w:val="14"/>
                <w:szCs w:val="14"/>
                <w:color w:val="auto"/>
              </w:rPr>
              <w:t>Supplemental disclosures: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449,903</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465,442</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433,492</w:t>
            </w:r>
          </w:p>
        </w:tc>
      </w:tr>
      <w:tr>
        <w:trPr>
          <w:trHeight w:val="176"/>
        </w:trPr>
        <w:tc>
          <w:tcPr>
            <w:tcW w:w="7140" w:type="dxa"/>
            <w:vAlign w:val="bottom"/>
          </w:tcPr>
          <w:p>
            <w:pPr>
              <w:ind w:left="300"/>
              <w:spacing w:after="0"/>
              <w:rPr>
                <w:sz w:val="20"/>
                <w:szCs w:val="20"/>
                <w:color w:val="auto"/>
              </w:rPr>
            </w:pPr>
            <w:r>
              <w:rPr>
                <w:rFonts w:ascii="Arial" w:cs="Arial" w:eastAsia="Arial" w:hAnsi="Arial"/>
                <w:sz w:val="14"/>
                <w:szCs w:val="14"/>
                <w:color w:val="auto"/>
              </w:rPr>
              <w:t>Interest capitalized</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52,130</w:t>
            </w:r>
          </w:p>
        </w:tc>
        <w:tc>
          <w:tcPr>
            <w:tcW w:w="14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53,097</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53,881</w:t>
            </w: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4"/>
        </w:trPr>
        <w:tc>
          <w:tcPr>
            <w:tcW w:w="7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Write-off of fully depreciated real estate</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(119,534)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(238,003)</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(99,494)</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 in real estate included in accounts payable and accrued expenses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97,586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(25,183)</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(19,848)</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Construction in progress, net deconsolidated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(11,316)</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(299,947)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in unconsolidated joint ventures recorded upon deconsolidation</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107,132</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347,898</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Sales-type lease origination</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13,045</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Derecognition of assets in exchange for sales-type lease obligation</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Accrued rental income, net deconsolidated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Tenant leasing costs, net deconsolidated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Building and other capital improvements, net deconsolidated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(111,889)</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Tenant improvements, net deconsolidated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(12,331)</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Prepaid expense and other assets, net deconsolidated</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Assumption of mortgage notes payable</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200,311</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Mortgage notes payable, net deconsolidation</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(198,381)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operating partnership units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99,689</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140" w:type="dxa"/>
            <w:vAlign w:val="bottom"/>
          </w:tcPr>
          <w:p>
            <w:pPr>
              <w:ind w:left="300"/>
              <w:spacing w:after="0"/>
              <w:rPr>
                <w:sz w:val="20"/>
                <w:szCs w:val="20"/>
                <w:color w:val="auto"/>
              </w:rPr>
            </w:pPr>
            <w:r>
              <w:rPr>
                <w:rFonts w:ascii="Arial" w:cs="Arial" w:eastAsia="Arial" w:hAnsi="Arial"/>
                <w:sz w:val="14"/>
                <w:szCs w:val="14"/>
                <w:color w:val="auto"/>
              </w:rPr>
              <w:t>Right-of-use assets obtained in exchange for lease liabilities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26,887</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Distributions declared but not paid</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170,643</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169,859</w:t>
            </w: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171,082</w:t>
            </w:r>
          </w:p>
        </w:tc>
      </w:tr>
      <w:tr>
        <w:trPr>
          <w:trHeight w:val="17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Conversions of redeemable partnership units to partners’ capital</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29,698</w:t>
            </w:r>
          </w:p>
        </w:tc>
      </w:tr>
      <w:tr>
        <w:trPr>
          <w:trHeight w:val="181"/>
        </w:trPr>
        <w:tc>
          <w:tcPr>
            <w:tcW w:w="7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restricted securities to employees and non-employee directors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48,417</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44,405</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36" w:name="page137"/>
    <w:bookmarkEnd w:id="136"/>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BOSTON PROPERTIES, INC. AND BOSTON PROPERTIES LIMITED PARTNERSHIP</w:t>
      </w:r>
    </w:p>
    <w:p>
      <w:pPr>
        <w:spacing w:after="0" w:line="53"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1. Organization</w:t>
      </w:r>
    </w:p>
    <w:p>
      <w:pPr>
        <w:spacing w:after="0" w:line="109" w:lineRule="exact"/>
        <w:rPr>
          <w:sz w:val="20"/>
          <w:szCs w:val="20"/>
          <w:color w:val="auto"/>
        </w:rPr>
      </w:pPr>
    </w:p>
    <w:p>
      <w:pPr>
        <w:jc w:val="both"/>
        <w:ind w:left="5" w:right="140" w:firstLine="391"/>
        <w:spacing w:after="0" w:line="275" w:lineRule="auto"/>
        <w:rPr>
          <w:sz w:val="20"/>
          <w:szCs w:val="20"/>
          <w:color w:val="auto"/>
        </w:rPr>
      </w:pPr>
      <w:r>
        <w:rPr>
          <w:rFonts w:ascii="Arial" w:cs="Arial" w:eastAsia="Arial" w:hAnsi="Arial"/>
          <w:sz w:val="15"/>
          <w:szCs w:val="15"/>
          <w:color w:val="auto"/>
        </w:rPr>
        <w:t>BXP is a fully integrated, self-administered and self-managed REIT. BXP is the sole general partner of BPLP, its operating partnership, and at December 31, 2022 owned an approximate 89.6% (89.7% at December 31, 2021) general and limited partnership interest in BPLP. Unless stated otherwise or the context requires, the “Company” refers to BXP and its subsidiaries, including BPLP and its consolidated subsidiaries. Partnership interests in BPLP include:</w:t>
      </w:r>
    </w:p>
    <w:p>
      <w:pPr>
        <w:spacing w:after="0" w:line="94" w:lineRule="exact"/>
        <w:rPr>
          <w:sz w:val="20"/>
          <w:szCs w:val="20"/>
          <w:color w:val="auto"/>
        </w:rPr>
      </w:pPr>
    </w:p>
    <w:p>
      <w:pPr>
        <w:ind w:left="645" w:hanging="290"/>
        <w:spacing w:after="0"/>
        <w:tabs>
          <w:tab w:leader="none" w:pos="6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common units of partnership interest (also referred to as “OP Units”) and</w:t>
      </w:r>
    </w:p>
    <w:p>
      <w:pPr>
        <w:spacing w:after="0" w:line="88" w:lineRule="exact"/>
        <w:rPr>
          <w:rFonts w:ascii="Arial" w:cs="Arial" w:eastAsia="Arial" w:hAnsi="Arial"/>
          <w:sz w:val="16"/>
          <w:szCs w:val="16"/>
          <w:color w:val="auto"/>
        </w:rPr>
      </w:pPr>
    </w:p>
    <w:p>
      <w:pPr>
        <w:ind w:left="645" w:hanging="290"/>
        <w:spacing w:after="0"/>
        <w:tabs>
          <w:tab w:leader="none" w:pos="6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long term incentive units of partnership interest (also referred to as “LTIP Units”)</w:t>
      </w:r>
    </w:p>
    <w:p>
      <w:pPr>
        <w:spacing w:after="0" w:line="148" w:lineRule="exact"/>
        <w:rPr>
          <w:sz w:val="20"/>
          <w:szCs w:val="20"/>
          <w:color w:val="auto"/>
        </w:rPr>
      </w:pPr>
    </w:p>
    <w:p>
      <w:pPr>
        <w:ind w:left="5" w:right="20" w:firstLine="391"/>
        <w:spacing w:after="0" w:line="248" w:lineRule="auto"/>
        <w:rPr>
          <w:sz w:val="20"/>
          <w:szCs w:val="20"/>
          <w:color w:val="auto"/>
        </w:rPr>
      </w:pPr>
      <w:r>
        <w:rPr>
          <w:rFonts w:ascii="Arial" w:cs="Arial" w:eastAsia="Arial" w:hAnsi="Arial"/>
          <w:sz w:val="16"/>
          <w:szCs w:val="16"/>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9" w:lineRule="exact"/>
        <w:rPr>
          <w:sz w:val="20"/>
          <w:szCs w:val="20"/>
          <w:color w:val="auto"/>
        </w:rPr>
      </w:pPr>
    </w:p>
    <w:p>
      <w:pPr>
        <w:ind w:left="5" w:right="20" w:firstLine="391"/>
        <w:spacing w:after="0" w:line="263" w:lineRule="auto"/>
        <w:rPr>
          <w:sz w:val="20"/>
          <w:szCs w:val="20"/>
          <w:color w:val="auto"/>
        </w:rPr>
      </w:pPr>
      <w:r>
        <w:rPr>
          <w:rFonts w:ascii="Arial" w:cs="Arial" w:eastAsia="Arial" w:hAnsi="Arial"/>
          <w:sz w:val="15"/>
          <w:szCs w:val="15"/>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2013 - 2022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2013 - 2019 MYLTIP Units have ended and BXP’s total stockholder return (“TSR”) was sufficient for employees to earn and therefore become eligible to vest in a portion of the awards. Unless and until they are earned, the rights, preferences and privileges of the 2020 - 2022 MYLTIP Units differ from other LTIP Units granted to employees (including the 2012 OPP Units and the 2013 - 2019 MYLTIP Units, which have been earned). Therefore, unless specifically noted otherwise, all references to LTIP Units exclude the 2020</w:t>
      </w:r>
    </w:p>
    <w:p>
      <w:pPr>
        <w:spacing w:after="0" w:line="4" w:lineRule="exact"/>
        <w:rPr>
          <w:sz w:val="20"/>
          <w:szCs w:val="20"/>
          <w:color w:val="auto"/>
        </w:rPr>
      </w:pPr>
    </w:p>
    <w:p>
      <w:pPr>
        <w:ind w:left="5" w:right="40" w:hanging="5"/>
        <w:spacing w:after="0" w:line="253" w:lineRule="auto"/>
        <w:tabs>
          <w:tab w:leader="none" w:pos="1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2022 MYLTIP Units. LTIP Units (including the earned 2012 OPP Units and the earned 2013 - 2019 MYLTIP Units), whether vested or not, will receive the same quarterly per unit distributions as OP Units, which equal per share dividends on Common Stock (See Notes 9, 14 and 16).</w:t>
      </w:r>
    </w:p>
    <w:p>
      <w:pPr>
        <w:spacing w:after="0" w:line="200" w:lineRule="exact"/>
        <w:rPr>
          <w:sz w:val="20"/>
          <w:szCs w:val="20"/>
          <w:color w:val="auto"/>
        </w:rPr>
      </w:pPr>
    </w:p>
    <w:p>
      <w:pPr>
        <w:ind w:left="185"/>
        <w:spacing w:after="0"/>
        <w:rPr>
          <w:sz w:val="20"/>
          <w:szCs w:val="20"/>
          <w:color w:val="auto"/>
        </w:rPr>
      </w:pPr>
      <w:r>
        <w:rPr>
          <w:rFonts w:ascii="Arial" w:cs="Arial" w:eastAsia="Arial" w:hAnsi="Arial"/>
          <w:sz w:val="16"/>
          <w:szCs w:val="16"/>
          <w:i w:val="1"/>
          <w:iCs w:val="1"/>
          <w:color w:val="auto"/>
        </w:rPr>
        <w:t>Properties</w:t>
      </w:r>
    </w:p>
    <w:p>
      <w:pPr>
        <w:spacing w:after="0" w:line="93" w:lineRule="exact"/>
        <w:rPr>
          <w:sz w:val="20"/>
          <w:szCs w:val="20"/>
          <w:color w:val="auto"/>
        </w:rPr>
      </w:pPr>
    </w:p>
    <w:p>
      <w:pPr>
        <w:ind w:left="5" w:right="460" w:firstLine="391"/>
        <w:spacing w:after="0" w:line="250" w:lineRule="auto"/>
        <w:rPr>
          <w:sz w:val="20"/>
          <w:szCs w:val="20"/>
          <w:color w:val="auto"/>
        </w:rPr>
      </w:pPr>
      <w:r>
        <w:rPr>
          <w:rFonts w:ascii="Arial" w:cs="Arial" w:eastAsia="Arial" w:hAnsi="Arial"/>
          <w:sz w:val="16"/>
          <w:szCs w:val="16"/>
          <w:color w:val="auto"/>
        </w:rPr>
        <w:t>At December 31, 2022, the Company owned or had joint venture interests in a portfolio of 194 commercial real estate properties (the “Properties”) aggregating approximately 54.1 million net rentable square feet of primarily premier workplaces, including 13 properties under construction/redevelopment totaling approximately 3.2 million net rentable square feet. At December 31, 2022, the Properties consisted of:</w:t>
      </w:r>
    </w:p>
    <w:p>
      <w:pPr>
        <w:spacing w:after="0" w:line="136" w:lineRule="exact"/>
        <w:rPr>
          <w:sz w:val="20"/>
          <w:szCs w:val="20"/>
          <w:color w:val="auto"/>
        </w:rPr>
      </w:pPr>
    </w:p>
    <w:p>
      <w:pPr>
        <w:ind w:left="565" w:hanging="281"/>
        <w:spacing w:after="0"/>
        <w:tabs>
          <w:tab w:leader="none" w:pos="5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173 office and life sciences properties (including 10 properties under construction/redevelopment);</w:t>
      </w:r>
    </w:p>
    <w:p>
      <w:pPr>
        <w:spacing w:after="0" w:line="5" w:lineRule="exact"/>
        <w:rPr>
          <w:rFonts w:ascii="Arial" w:cs="Arial" w:eastAsia="Arial" w:hAnsi="Arial"/>
          <w:sz w:val="16"/>
          <w:szCs w:val="16"/>
          <w:color w:val="auto"/>
        </w:rPr>
      </w:pPr>
    </w:p>
    <w:p>
      <w:pPr>
        <w:ind w:left="565" w:hanging="281"/>
        <w:spacing w:after="0"/>
        <w:tabs>
          <w:tab w:leader="none" w:pos="5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14 retail properties (including two properties under construction/redevelopment);</w:t>
      </w:r>
    </w:p>
    <w:p>
      <w:pPr>
        <w:spacing w:after="0" w:line="4" w:lineRule="exact"/>
        <w:rPr>
          <w:rFonts w:ascii="Arial" w:cs="Arial" w:eastAsia="Arial" w:hAnsi="Arial"/>
          <w:sz w:val="16"/>
          <w:szCs w:val="16"/>
          <w:color w:val="auto"/>
        </w:rPr>
      </w:pPr>
    </w:p>
    <w:p>
      <w:pPr>
        <w:ind w:left="565" w:hanging="281"/>
        <w:spacing w:after="0"/>
        <w:tabs>
          <w:tab w:leader="none" w:pos="5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six residential properties (including one property under construction); and</w:t>
      </w:r>
    </w:p>
    <w:p>
      <w:pPr>
        <w:spacing w:after="0" w:line="6" w:lineRule="exact"/>
        <w:rPr>
          <w:rFonts w:ascii="Arial" w:cs="Arial" w:eastAsia="Arial" w:hAnsi="Arial"/>
          <w:sz w:val="16"/>
          <w:szCs w:val="16"/>
          <w:color w:val="auto"/>
        </w:rPr>
      </w:pPr>
    </w:p>
    <w:p>
      <w:pPr>
        <w:ind w:left="565" w:hanging="281"/>
        <w:spacing w:after="0"/>
        <w:tabs>
          <w:tab w:leader="none" w:pos="5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one hotel.</w:t>
      </w:r>
    </w:p>
    <w:p>
      <w:pPr>
        <w:spacing w:after="0" w:line="148" w:lineRule="exact"/>
        <w:rPr>
          <w:sz w:val="20"/>
          <w:szCs w:val="20"/>
          <w:color w:val="auto"/>
        </w:rPr>
      </w:pPr>
    </w:p>
    <w:p>
      <w:pPr>
        <w:ind w:left="5" w:right="420" w:firstLine="391"/>
        <w:spacing w:after="0" w:line="253" w:lineRule="auto"/>
        <w:rPr>
          <w:sz w:val="20"/>
          <w:szCs w:val="20"/>
          <w:color w:val="auto"/>
        </w:rPr>
      </w:pPr>
      <w:r>
        <w:rPr>
          <w:rFonts w:ascii="Arial" w:cs="Arial" w:eastAsia="Arial" w:hAnsi="Arial"/>
          <w:sz w:val="16"/>
          <w:szCs w:val="16"/>
          <w:color w:val="auto"/>
        </w:rPr>
        <w:t>The Company considers premier workplaces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134" w:lineRule="exact"/>
        <w:rPr>
          <w:sz w:val="20"/>
          <w:szCs w:val="20"/>
          <w:color w:val="auto"/>
        </w:rPr>
      </w:pPr>
    </w:p>
    <w:p>
      <w:pPr>
        <w:ind w:left="385"/>
        <w:spacing w:after="0"/>
        <w:rPr>
          <w:sz w:val="20"/>
          <w:szCs w:val="20"/>
          <w:color w:val="auto"/>
        </w:rPr>
      </w:pPr>
      <w:r>
        <w:rPr>
          <w:rFonts w:ascii="Arial" w:cs="Arial" w:eastAsia="Arial" w:hAnsi="Arial"/>
          <w:sz w:val="16"/>
          <w:szCs w:val="16"/>
          <w:color w:val="auto"/>
        </w:rPr>
        <w:t>All references to acres and square footage in the Notes are unaudited.</w:t>
      </w:r>
    </w:p>
    <w:p>
      <w:pPr>
        <w:spacing w:after="0" w:line="213"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07" w:lineRule="exact"/>
        <w:rPr>
          <w:sz w:val="20"/>
          <w:szCs w:val="20"/>
          <w:color w:val="auto"/>
        </w:rPr>
      </w:pPr>
    </w:p>
    <w:p>
      <w:pPr>
        <w:ind w:left="5" w:firstLine="391"/>
        <w:spacing w:after="0" w:line="250" w:lineRule="auto"/>
        <w:rPr>
          <w:sz w:val="20"/>
          <w:szCs w:val="20"/>
          <w:color w:val="auto"/>
        </w:rPr>
      </w:pPr>
      <w:r>
        <w:rPr>
          <w:rFonts w:ascii="Arial" w:cs="Arial" w:eastAsia="Arial" w:hAnsi="Arial"/>
          <w:sz w:val="16"/>
          <w:szCs w:val="16"/>
          <w:color w:val="auto"/>
        </w:rPr>
        <w:t>The accompanying consolidated financial statements are presented using the accrual basis of accounting in conformity with accounting principles generally accepted in the United States of America. BXP does not have any other significant assets, liabilities or operations, other than its investment in BPLP, nor does it have employees of its</w:t>
      </w:r>
    </w:p>
    <w:p>
      <w:pPr>
        <w:spacing w:after="0" w:line="200" w:lineRule="exact"/>
        <w:rPr>
          <w:sz w:val="20"/>
          <w:szCs w:val="20"/>
          <w:color w:val="auto"/>
        </w:rPr>
      </w:pPr>
    </w:p>
    <w:p>
      <w:pPr>
        <w:spacing w:after="0" w:line="280"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5"/>
          </w:cols>
          <w:pgMar w:left="315" w:top="281" w:right="359" w:bottom="1440" w:gutter="0" w:footer="0" w:header="0"/>
        </w:sectPr>
      </w:pPr>
    </w:p>
    <w:bookmarkStart w:id="137" w:name="page138"/>
    <w:bookmarkEnd w:id="137"/>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93"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Variable Interest Entities (VIEs)</w:t>
      </w:r>
    </w:p>
    <w:p>
      <w:pPr>
        <w:spacing w:after="0" w:line="107" w:lineRule="exact"/>
        <w:rPr>
          <w:sz w:val="20"/>
          <w:szCs w:val="20"/>
          <w:color w:val="auto"/>
        </w:rPr>
      </w:pPr>
    </w:p>
    <w:p>
      <w:pPr>
        <w:jc w:val="both"/>
        <w:ind w:left="5" w:right="120" w:firstLine="391"/>
        <w:spacing w:after="0" w:line="248" w:lineRule="auto"/>
        <w:rPr>
          <w:sz w:val="20"/>
          <w:szCs w:val="20"/>
          <w:color w:val="auto"/>
        </w:rPr>
      </w:pPr>
      <w:r>
        <w:rPr>
          <w:rFonts w:ascii="Arial" w:cs="Arial" w:eastAsia="Arial" w:hAnsi="Arial"/>
          <w:sz w:val="16"/>
          <w:szCs w:val="16"/>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determined that it is the primary beneficiary for six of the seven entities that are VIEs as of December 31, 2022.</w:t>
      </w:r>
    </w:p>
    <w:p>
      <w:pPr>
        <w:spacing w:after="0" w:line="140" w:lineRule="exact"/>
        <w:rPr>
          <w:sz w:val="20"/>
          <w:szCs w:val="20"/>
          <w:color w:val="auto"/>
        </w:rPr>
      </w:pPr>
    </w:p>
    <w:p>
      <w:pPr>
        <w:ind w:left="385"/>
        <w:spacing w:after="0"/>
        <w:rPr>
          <w:sz w:val="20"/>
          <w:szCs w:val="20"/>
          <w:color w:val="auto"/>
        </w:rPr>
      </w:pPr>
      <w:r>
        <w:rPr>
          <w:rFonts w:ascii="Arial" w:cs="Arial" w:eastAsia="Arial" w:hAnsi="Arial"/>
          <w:sz w:val="16"/>
          <w:szCs w:val="16"/>
          <w:u w:val="single" w:color="auto"/>
          <w:color w:val="auto"/>
        </w:rPr>
        <w:t>Consolidated Variable Interest Entities</w:t>
      </w:r>
    </w:p>
    <w:p>
      <w:pPr>
        <w:spacing w:after="0" w:line="148" w:lineRule="exact"/>
        <w:rPr>
          <w:sz w:val="20"/>
          <w:szCs w:val="20"/>
          <w:color w:val="auto"/>
        </w:rPr>
      </w:pPr>
    </w:p>
    <w:p>
      <w:pPr>
        <w:jc w:val="both"/>
        <w:ind w:left="5" w:right="120" w:firstLine="391"/>
        <w:spacing w:after="0" w:line="286" w:lineRule="auto"/>
        <w:rPr>
          <w:sz w:val="20"/>
          <w:szCs w:val="20"/>
          <w:color w:val="auto"/>
        </w:rPr>
      </w:pPr>
      <w:r>
        <w:rPr>
          <w:rFonts w:ascii="Arial" w:cs="Arial" w:eastAsia="Arial" w:hAnsi="Arial"/>
          <w:sz w:val="15"/>
          <w:szCs w:val="15"/>
          <w:color w:val="auto"/>
        </w:rPr>
        <w:t>As of December 31, 2022,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spacing w:after="0" w:line="110" w:lineRule="exact"/>
        <w:rPr>
          <w:sz w:val="20"/>
          <w:szCs w:val="20"/>
          <w:color w:val="auto"/>
        </w:rPr>
      </w:pPr>
    </w:p>
    <w:p>
      <w:pPr>
        <w:ind w:left="5" w:right="220" w:firstLine="391"/>
        <w:spacing w:after="0" w:line="253" w:lineRule="auto"/>
        <w:rPr>
          <w:sz w:val="20"/>
          <w:szCs w:val="20"/>
          <w:color w:val="auto"/>
        </w:rPr>
      </w:pPr>
      <w:r>
        <w:rPr>
          <w:rFonts w:ascii="Arial" w:cs="Arial" w:eastAsia="Arial" w:hAnsi="Arial"/>
          <w:sz w:val="16"/>
          <w:szCs w:val="16"/>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spacing w:after="0" w:line="134" w:lineRule="exact"/>
        <w:rPr>
          <w:sz w:val="20"/>
          <w:szCs w:val="20"/>
          <w:color w:val="auto"/>
        </w:rPr>
      </w:pPr>
    </w:p>
    <w:p>
      <w:pPr>
        <w:ind w:left="5" w:right="400" w:firstLine="391"/>
        <w:spacing w:after="0" w:line="253" w:lineRule="auto"/>
        <w:rPr>
          <w:sz w:val="20"/>
          <w:szCs w:val="20"/>
          <w:color w:val="auto"/>
        </w:rPr>
      </w:pPr>
      <w:r>
        <w:rPr>
          <w:rFonts w:ascii="Arial" w:cs="Arial" w:eastAsia="Arial" w:hAnsi="Arial"/>
          <w:sz w:val="16"/>
          <w:szCs w:val="16"/>
          <w:color w:val="auto"/>
        </w:rPr>
        <w:t>In addition, BXP’s only significant asset is its investment in BPLP and, consequently, substantially all of BXP’s assets and liabilities are the assets and liabilities of BPLP.</w:t>
      </w:r>
    </w:p>
    <w:p>
      <w:pPr>
        <w:spacing w:after="0" w:line="134" w:lineRule="exact"/>
        <w:rPr>
          <w:sz w:val="20"/>
          <w:szCs w:val="20"/>
          <w:color w:val="auto"/>
        </w:rPr>
      </w:pPr>
    </w:p>
    <w:p>
      <w:pPr>
        <w:ind w:left="385"/>
        <w:spacing w:after="0"/>
        <w:rPr>
          <w:sz w:val="20"/>
          <w:szCs w:val="20"/>
          <w:color w:val="auto"/>
        </w:rPr>
      </w:pPr>
      <w:r>
        <w:rPr>
          <w:rFonts w:ascii="Arial" w:cs="Arial" w:eastAsia="Arial" w:hAnsi="Arial"/>
          <w:sz w:val="16"/>
          <w:szCs w:val="16"/>
          <w:u w:val="single" w:color="auto"/>
          <w:color w:val="auto"/>
        </w:rPr>
        <w:t>Variable Interest Entities Not Consolidated</w:t>
      </w:r>
    </w:p>
    <w:p>
      <w:pPr>
        <w:spacing w:after="0" w:line="148" w:lineRule="exact"/>
        <w:rPr>
          <w:sz w:val="20"/>
          <w:szCs w:val="20"/>
          <w:color w:val="auto"/>
        </w:rPr>
      </w:pPr>
    </w:p>
    <w:p>
      <w:pPr>
        <w:ind w:left="5" w:right="60" w:firstLine="391"/>
        <w:spacing w:after="0" w:line="250" w:lineRule="auto"/>
        <w:rPr>
          <w:sz w:val="20"/>
          <w:szCs w:val="20"/>
          <w:color w:val="auto"/>
        </w:rPr>
      </w:pPr>
      <w:r>
        <w:rPr>
          <w:rFonts w:ascii="Arial" w:cs="Arial" w:eastAsia="Arial" w:hAnsi="Arial"/>
          <w:sz w:val="16"/>
          <w:szCs w:val="16"/>
          <w:color w:val="auto"/>
        </w:rPr>
        <w:t>As of December 31, 2022, 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spacing w:after="0" w:line="199" w:lineRule="exact"/>
        <w:rPr>
          <w:sz w:val="20"/>
          <w:szCs w:val="20"/>
          <w:color w:val="auto"/>
        </w:rPr>
      </w:pPr>
    </w:p>
    <w:p>
      <w:pPr>
        <w:ind w:left="185" w:right="7740" w:hanging="185"/>
        <w:spacing w:after="0" w:line="360" w:lineRule="auto"/>
        <w:tabs>
          <w:tab w:leader="none" w:pos="183"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Real Estate</w:t>
      </w:r>
    </w:p>
    <w:p>
      <w:pPr>
        <w:spacing w:after="0" w:line="1" w:lineRule="exact"/>
        <w:rPr>
          <w:sz w:val="20"/>
          <w:szCs w:val="20"/>
          <w:color w:val="auto"/>
        </w:rPr>
      </w:pPr>
    </w:p>
    <w:p>
      <w:pPr>
        <w:ind w:left="5" w:right="140" w:firstLine="391"/>
        <w:spacing w:after="0" w:line="248" w:lineRule="auto"/>
        <w:rPr>
          <w:sz w:val="20"/>
          <w:szCs w:val="20"/>
          <w:color w:val="auto"/>
        </w:rPr>
      </w:pPr>
      <w:r>
        <w:rPr>
          <w:rFonts w:ascii="Arial" w:cs="Arial" w:eastAsia="Arial" w:hAnsi="Arial"/>
          <w:sz w:val="16"/>
          <w:szCs w:val="16"/>
          <w:color w:val="auto"/>
        </w:rPr>
        <w:t>Upon acquisitions of real estate, the Company assesses whether the transaction should be accounted for as an asset acquisition or as a business combination by applying a screen to determine whether the integrated set of assets and activities acquired meets the definition of a business. Acquisitions of integrated sets of assets and activities that do not meet the definition of a business are accounted for as asset acquisitions. The Company’s acquisitions of real estate or in-substance real estate generally will not meet the definition of a business because substantially all of the fair value is concentrated in a single identifiable asset or group of similar identifiable assets (i.e. land, buildings, and related intangible assets) or because the acquisition does not include a substantive process in the form of an acquired workforce or an acquired contract that cannot be replaced without significant cost, effort or delay.</w:t>
      </w:r>
    </w:p>
    <w:p>
      <w:pPr>
        <w:spacing w:after="0" w:line="139" w:lineRule="exact"/>
        <w:rPr>
          <w:sz w:val="20"/>
          <w:szCs w:val="20"/>
          <w:color w:val="auto"/>
        </w:rPr>
      </w:pPr>
    </w:p>
    <w:p>
      <w:pPr>
        <w:ind w:left="5" w:firstLine="391"/>
        <w:spacing w:after="0" w:line="269" w:lineRule="auto"/>
        <w:rPr>
          <w:sz w:val="20"/>
          <w:szCs w:val="20"/>
          <w:color w:val="auto"/>
        </w:rPr>
      </w:pPr>
      <w:r>
        <w:rPr>
          <w:rFonts w:ascii="Arial" w:cs="Arial" w:eastAsia="Arial" w:hAnsi="Arial"/>
          <w:sz w:val="15"/>
          <w:szCs w:val="15"/>
          <w:color w:val="auto"/>
        </w:rPr>
        <w:t>The Company assesses the fair value of acquired tangible and intangible assets (including land, buildings, tenant improvements, “above-” and “below-market” leases, leasing and assumed financing origination costs, acquired in-place leases, other identified intangible assets and assumed liabilities) and allocates the purchase price to the acquired assets and assumed liabilities, including land and buildings as if vacant. The Company assesses fair value based on estimated cash flow projections that utilize discount and/or capitalization rates that it deems appropriate, as well as available market information. Estimates of future cash flows are based on a number of factors including the historical operating results, known and anticipated trends, and market and economic conditions.</w:t>
      </w:r>
    </w:p>
    <w:p>
      <w:pPr>
        <w:spacing w:after="0" w:line="200" w:lineRule="exact"/>
        <w:rPr>
          <w:sz w:val="20"/>
          <w:szCs w:val="20"/>
          <w:color w:val="auto"/>
        </w:rPr>
      </w:pPr>
    </w:p>
    <w:p>
      <w:pPr>
        <w:spacing w:after="0" w:line="267"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5"/>
          </w:cols>
          <w:pgMar w:left="315" w:top="281" w:right="3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391"/>
        <w:spacing w:after="0" w:line="249" w:lineRule="auto"/>
        <w:rPr>
          <w:sz w:val="20"/>
          <w:szCs w:val="20"/>
          <w:color w:val="auto"/>
        </w:rPr>
      </w:pPr>
      <w:r>
        <w:rPr>
          <w:rFonts w:ascii="Arial" w:cs="Arial" w:eastAsia="Arial" w:hAnsi="Arial"/>
          <w:sz w:val="16"/>
          <w:szCs w:val="16"/>
          <w:color w:val="auto"/>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 Based on its acquisitions to date, the Company’s allocation to customer relationship intangible assets has been immaterial.</w:t>
      </w:r>
    </w:p>
    <w:p>
      <w:pPr>
        <w:spacing w:after="0" w:line="137" w:lineRule="exact"/>
        <w:rPr>
          <w:sz w:val="20"/>
          <w:szCs w:val="20"/>
          <w:color w:val="auto"/>
        </w:rPr>
      </w:pPr>
    </w:p>
    <w:p>
      <w:pPr>
        <w:ind w:right="100" w:firstLine="391"/>
        <w:spacing w:after="0" w:line="248" w:lineRule="auto"/>
        <w:rPr>
          <w:sz w:val="20"/>
          <w:szCs w:val="20"/>
          <w:color w:val="auto"/>
        </w:rPr>
      </w:pPr>
      <w:r>
        <w:rPr>
          <w:rFonts w:ascii="Arial" w:cs="Arial" w:eastAsia="Arial" w:hAnsi="Arial"/>
          <w:sz w:val="16"/>
          <w:szCs w:val="16"/>
          <w:color w:val="auto"/>
        </w:rPr>
        <w:t>The Company records acquired “above-” and “below-market” leases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 rate renewal options for below-market leases. Acquired “above-” and “below-market” lease values have been reflected within Prepaid Expenses and Other Assets and Other Liabilities, respectively, in the Company’s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 In estimating costs to execute similar leases, the Company considers leasing commissions, legal and other related expenses.</w:t>
      </w:r>
    </w:p>
    <w:p>
      <w:pPr>
        <w:spacing w:after="0" w:line="137" w:lineRule="exact"/>
        <w:rPr>
          <w:sz w:val="20"/>
          <w:szCs w:val="20"/>
          <w:color w:val="auto"/>
        </w:rPr>
      </w:pPr>
    </w:p>
    <w:p>
      <w:pPr>
        <w:ind w:right="60" w:firstLine="391"/>
        <w:spacing w:after="0" w:line="247" w:lineRule="auto"/>
        <w:rPr>
          <w:sz w:val="20"/>
          <w:szCs w:val="20"/>
          <w:color w:val="auto"/>
        </w:rPr>
      </w:pPr>
      <w:r>
        <w:rPr>
          <w:rFonts w:ascii="Arial" w:cs="Arial" w:eastAsia="Arial" w:hAnsi="Arial"/>
          <w:sz w:val="16"/>
          <w:szCs w:val="16"/>
          <w:color w:val="auto"/>
        </w:rPr>
        <w:t>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more likely than not, a long-lived asset will be sold or otherwise disposed of significantly before the end of its previously estimated useful life or hold period. An impairment loss is recognized if the carrying amount of an asset is not recoverable and exceeds its fair value. The evaluation of anticipated cash flows is subjective and is based in part on assumptions regarding anticipated hold periods, future occupancy, future rental rates, future capital requirements, discount rates and capitalization rates that could differ materially from actual results in future periods. Because cash flows on properties considered to be “long-lived assets to be held and used” are considered on an undiscounted basis to determine whether an asset may be impaired, the Company’s established strategy of holding properties over the long term directly decreases the likelihood of recording an impairment loss. If the Company’s hold strategy changes or market conditions otherwise dictate an earlier sale date, an impairment loss may be recognized, and such loss could be material. If the Company determines that an impairment has occurred, the affected assets must be reduced to their fair value.</w:t>
      </w:r>
    </w:p>
    <w:p>
      <w:pPr>
        <w:spacing w:after="0" w:line="14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Guidance in Accounting Standards Codification (“ASC”) 360 “Property Plant and Equipment” requires that qualifying assets and liabilities and the results of operations that have been sold, or otherwise qualify as “held for sale,” be presented as discontinued operations in all periods presented if the property operations are expected to be eliminated and the Company will not have significant continuing involvement following the sale. Discontinued operations presentation applies only to disposals representing a strategic shift that has (or will have) a major effect on an entity’s operations and financial results (e.g., a disposal of a major geographical area, a major line of business, a major equity method investment or other major parts of an entity). The components of the property’s net income that are reflected as discontinued operations include the net gain (or loss) upon the disposition of the property held for sale, operating results, depreciation and interest expense (if the property is subject to a secured loan). The Company generally considers assets to be “held for sale” when the transaction has been approved by BXP’s Board of Directors, or a committee thereof, and there are no known significant contingencies relating to the sale, such that a sale of the property within one year is considered probable. Following the classification of a property as “held for sale,” no further depreciation is recorded on the assets, and the asset is written down to the lower of carrying value or fair market value, less cost to sell.</w:t>
      </w:r>
    </w:p>
    <w:p>
      <w:pPr>
        <w:spacing w:after="0" w:line="137" w:lineRule="exact"/>
        <w:rPr>
          <w:sz w:val="20"/>
          <w:szCs w:val="20"/>
          <w:color w:val="auto"/>
        </w:rPr>
      </w:pPr>
    </w:p>
    <w:p>
      <w:pPr>
        <w:jc w:val="both"/>
        <w:ind w:right="60" w:firstLine="391"/>
        <w:spacing w:after="0" w:line="263" w:lineRule="auto"/>
        <w:rPr>
          <w:sz w:val="20"/>
          <w:szCs w:val="20"/>
          <w:color w:val="auto"/>
        </w:rPr>
      </w:pPr>
      <w:r>
        <w:rPr>
          <w:rFonts w:ascii="Arial" w:cs="Arial" w:eastAsia="Arial" w:hAnsi="Arial"/>
          <w:sz w:val="15"/>
          <w:szCs w:val="15"/>
          <w:color w:val="auto"/>
        </w:rPr>
        <w:t>Real estate is stated at depreciated cost. A variety of costs are incurred in the acquisition, development and leasing of properties. The cost of buildings and improvements includes the purchase price of property, legal fees and other acquisition costs. The Company capitalizes acquisition costs that it incurs to effect an asset acquisition and expenses acquisition costs that it incurs to effect a business combination, including legal, due diligence and other closing related costs.</w:t>
      </w:r>
    </w:p>
    <w:p>
      <w:pPr>
        <w:spacing w:after="0" w:line="2"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Costs directly related to the development of properties are capitalized. Capitalized development costs include interest, internal wages, property taxes, insurance, and other project costs incurred during the period of development. After the determination is made to capitalize a cost, it is allocated to the specific</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component of the project that benefited from the investment. Determination of when a development project commences and capitalization begins, and when a development project is substantially complete and held available for occupancy and capitalization must cease, involves a degree of judgment. The Company’s capitalization policy on development properties follows the guidance in ASC 835-20 “Capitalization of Interest” and ASC 970 “Real Estate-General.” The costs of land and buildings under development include specifically identifiable costs.</w:t>
      </w:r>
    </w:p>
    <w:p>
      <w:pPr>
        <w:spacing w:after="0" w:line="137"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Capitalized costs include pre-construction costs necessary to the development of the property, development costs (including architectural, engineering and design costs), construction costs, interest costs, real estate taxes, salaries and related costs and other costs incurred during the period of development. The Company begins the capitalization of costs during the pre-construction period, which it defines as activities that are necessary for the development of the property. The Company considers a construction project as substantially complete and held available for occupancy upon the completion of tenant improvements, but no later than one year from cessation of major construction activity. The Company ceases capitalization on the portion (1) substantially completed, (2) occupied or held available for occupancy, and capitalizes only those costs associated with the portion under construction or (3) if activities necessary for the development of the property have been suspended. Interest costs capitalized for the years ended December 31, 2022, 2021 and 2020 were approximately $52.1 million, $53.1 million and $53.9 million, respectively. Salaries and related costs capitalized for the years ended December 31, 2022, 2021 and 2020 were approximately $16.1 million, $13.7 million and $12.9 million, respectively.</w:t>
      </w:r>
    </w:p>
    <w:p>
      <w:pPr>
        <w:spacing w:after="0" w:line="138" w:lineRule="exact"/>
        <w:rPr>
          <w:sz w:val="20"/>
          <w:szCs w:val="20"/>
          <w:color w:val="auto"/>
        </w:rPr>
      </w:pPr>
    </w:p>
    <w:p>
      <w:pPr>
        <w:jc w:val="both"/>
        <w:ind w:right="80" w:firstLine="391"/>
        <w:spacing w:after="0" w:line="286" w:lineRule="auto"/>
        <w:rPr>
          <w:sz w:val="20"/>
          <w:szCs w:val="20"/>
          <w:color w:val="auto"/>
        </w:rPr>
      </w:pPr>
      <w:r>
        <w:rPr>
          <w:rFonts w:ascii="Arial" w:cs="Arial" w:eastAsia="Arial" w:hAnsi="Arial"/>
          <w:sz w:val="15"/>
          <w:szCs w:val="15"/>
          <w:color w:val="auto"/>
        </w:rPr>
        <w:t>Expenditures for repairs and maintenance are charged to operations as incurred. Significant betterments are capitalized. When assets are sold or retired, their costs and related accumulated depreciation are removed from the accounts with the resulting gains or losses reflected in net income or loss for the period.</w:t>
      </w:r>
    </w:p>
    <w:p>
      <w:pPr>
        <w:spacing w:after="0" w:line="110"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The Company computes depreciation and amortization on properties using the straight-line method based on estimated useful asset lives. The Company allocates the acquisition cost of real estate to its components and depreciates or amortizes these assets (or liabilities) over their useful lives. The amortization of acquired “above-” and “below-market” leases and acquired in-place leases is recorded as an adjustment to revenue and depreciation and amortization, respectively, in the Consolidated Statements of Operations.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is computed on a straight-line basis over the estimated useful lives of the assets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improvements</w:t>
            </w:r>
          </w:p>
        </w:tc>
        <w:tc>
          <w:tcPr>
            <w:tcW w:w="66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25 to 40 years</w:t>
            </w:r>
          </w:p>
        </w:tc>
      </w:tr>
      <w:tr>
        <w:trPr>
          <w:trHeight w:val="201"/>
        </w:trPr>
        <w:tc>
          <w:tcPr>
            <w:tcW w:w="43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6680" w:type="dxa"/>
            <w:vAlign w:val="bottom"/>
          </w:tcPr>
          <w:p>
            <w:pPr>
              <w:ind w:left="1900"/>
              <w:spacing w:after="0"/>
              <w:rPr>
                <w:sz w:val="20"/>
                <w:szCs w:val="20"/>
                <w:color w:val="auto"/>
              </w:rPr>
            </w:pPr>
            <w:r>
              <w:rPr>
                <w:rFonts w:ascii="Arial" w:cs="Arial" w:eastAsia="Arial" w:hAnsi="Arial"/>
                <w:sz w:val="16"/>
                <w:szCs w:val="16"/>
                <w:color w:val="auto"/>
              </w:rPr>
              <w:t>10 to 40 years</w:t>
            </w: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66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Shorter of useful life or terms of related lease</w:t>
            </w:r>
          </w:p>
        </w:tc>
      </w:tr>
      <w:tr>
        <w:trPr>
          <w:trHeight w:val="200"/>
        </w:trPr>
        <w:tc>
          <w:tcPr>
            <w:tcW w:w="430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6680" w:type="dxa"/>
            <w:vAlign w:val="bottom"/>
          </w:tcPr>
          <w:p>
            <w:pPr>
              <w:ind w:left="1900"/>
              <w:spacing w:after="0"/>
              <w:rPr>
                <w:sz w:val="20"/>
                <w:szCs w:val="20"/>
                <w:color w:val="auto"/>
              </w:rPr>
            </w:pPr>
            <w:r>
              <w:rPr>
                <w:rFonts w:ascii="Arial" w:cs="Arial" w:eastAsia="Arial" w:hAnsi="Arial"/>
                <w:sz w:val="16"/>
                <w:szCs w:val="16"/>
                <w:color w:val="auto"/>
              </w:rPr>
              <w:t>3 to 7 years</w:t>
            </w:r>
          </w:p>
        </w:tc>
      </w:tr>
    </w:tbl>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and Cash Equivalents</w:t>
      </w:r>
    </w:p>
    <w:p>
      <w:pPr>
        <w:spacing w:after="0" w:line="105"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Cash and cash equivalents consist of cash on hand and investments with maturities of three months or less from the date of purchase. The majority of the Company’s cash and cash equivalents are held at major commercial banks which may at times exceed the Federal Deposit Insurance Corporation limit of $250,000.</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Held in Escrows</w:t>
      </w:r>
    </w:p>
    <w:p>
      <w:pPr>
        <w:spacing w:after="0" w:line="93"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Escrows include amounts established pursuant to various agreements for security deposits, property taxes, insurance and other costs. Escrows also include cash held by qualified intermediaries for possible investments in like-kind exchanges in accordance with Section 1031 of the Internal Revenue Code, as amended (the “Code”), in connection with sales of the Company’s properties.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Securities</w:t>
      </w:r>
    </w:p>
    <w:p>
      <w:pPr>
        <w:spacing w:after="0" w:line="10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The Company accounts for investments in equity securities at fair value, with gains or losses resulting from changes in fair value recognized currently in earnings. The Company maintains deferred compensation plans that are designed to allow officers and non-employee directors of BXP to defer a portion of the officer’s current income or the non-employee director’s current compensation on a pre-tax basis and receive a tax-deferred return on these deferrals based on the performance of specific investments selected by the officer or non-employee director. The Company’s obligation under the plans is that of an unsecured promise to pay the deferred compensation to the plan participants in the future. At December 31, 2022 and 2021, the Company had maintained approximately $32.3 million and $43.6 million, respectively, in separate accounts, which are not restricted as to their use. The Company recognized gains (losses) of approximately $(6.5) million, $5.6 million and $5.3 million on its investments in the</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accounts associated with the Company’s deferred compensation plans during the years ended December 31, 2022, 2021 and 2020, respectively.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Tenant and Other Receivables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and other accounts receivable, other than accrued rents receivable, are expected to be collected within one year.</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Notes Receivable</w:t>
      </w:r>
    </w:p>
    <w:p>
      <w:pPr>
        <w:spacing w:after="0" w:line="93" w:lineRule="exact"/>
        <w:rPr>
          <w:sz w:val="20"/>
          <w:szCs w:val="20"/>
          <w:color w:val="auto"/>
        </w:rPr>
      </w:pPr>
    </w:p>
    <w:p>
      <w:pPr>
        <w:ind w:right="160" w:firstLine="391"/>
        <w:spacing w:after="0" w:line="250" w:lineRule="auto"/>
        <w:rPr>
          <w:sz w:val="20"/>
          <w:szCs w:val="20"/>
          <w:color w:val="auto"/>
        </w:rPr>
      </w:pPr>
      <w:r>
        <w:rPr>
          <w:rFonts w:ascii="Arial" w:cs="Arial" w:eastAsia="Arial" w:hAnsi="Arial"/>
          <w:sz w:val="16"/>
          <w:szCs w:val="16"/>
          <w:color w:val="auto"/>
        </w:rPr>
        <w:t>The Company accounts for notes receivable at their unamortized cost, net of any unamortized deferred fees or costs, premiums or discounts and an allowance for loan losses. Loan fees and direct costs associated with loans originated by the Company are deferred and amortized over the term of the note as interest income.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Deferred Charges</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Deferred charges include leasing costs and certain financing fees. Leasing costs include acquired intangible in-place lease values and direct and incremental fees and costs incurred in the successful negotiation of leases, including brokerage and other costs which have been deferred and are being amortized on a straight-line basis over the terms of the respective leases. Unamortized leasing costs are charged to expense upon the early termination of the lease. Fully amortized deferred leasing costs are removed from the books upon the expiration of the lease. Financing fees included in deferred charges consist of external fees and costs incurred to obtain the Company’s revolving facility and if applicable, unsecured term loan and construction financing arrangements where there are not sufficient amounts outstanding to report the fees net of the debt liability. Such financing costs have been deferred and are being amortized over the terms of the respective financing and included within interest expense. Unamortized financing costs are charged to expense upon the early repayment or significant modification of the financing. Fully amortized deferred financing costs are removed from the books upon the maturity of the debt.</w:t>
      </w:r>
    </w:p>
    <w:p>
      <w:pPr>
        <w:spacing w:after="0" w:line="138" w:lineRule="exact"/>
        <w:rPr>
          <w:sz w:val="20"/>
          <w:szCs w:val="20"/>
          <w:color w:val="auto"/>
        </w:rPr>
      </w:pPr>
    </w:p>
    <w:p>
      <w:pPr>
        <w:jc w:val="both"/>
        <w:ind w:right="240" w:firstLine="391"/>
        <w:spacing w:after="0" w:line="275" w:lineRule="auto"/>
        <w:rPr>
          <w:sz w:val="20"/>
          <w:szCs w:val="20"/>
          <w:color w:val="auto"/>
        </w:rPr>
      </w:pPr>
      <w:r>
        <w:rPr>
          <w:rFonts w:ascii="Arial" w:cs="Arial" w:eastAsia="Arial" w:hAnsi="Arial"/>
          <w:sz w:val="15"/>
          <w:szCs w:val="15"/>
          <w:color w:val="auto"/>
        </w:rPr>
        <w:t>External fees and costs incurred to obtain mortgage financings and unsecured senior notes have been deferred and are presented as direct deductions from the carrying amounts of the corresponding debt liability. Such financing costs are being amortized over the terms of the respective financing and included within interest expense. Unamortized financing costs are charged to expense upon the early repayment or significant modification of the financing.</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Non-Real Estate Investments</w:t>
      </w:r>
    </w:p>
    <w:p>
      <w:pPr>
        <w:spacing w:after="0" w:line="105"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The Company measures its investments in non-real estate investments, which are primarily environmentally focused investment funds, at the readily determinable fair value of the investment. Changes in the fair value of these non-real estate investments are included in unrealized gain (loss) on non-real estate investments on the Consolidated Statements of Operations. The Company’s investment in non-real estate investments is shown within Prepaid and Other Assets in the Consolidated Balance Sheet. The Company recognized a net unrealized loss of approximately $0.2 million for the year ended December 31, 2022 due to the observable changes in fair value. Prior to the year ended December 31, 2022, the Company had not invested in non-real estate investments.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Unconsolidated Joint Ventures</w:t>
      </w:r>
    </w:p>
    <w:p>
      <w:pPr>
        <w:spacing w:after="0" w:line="93" w:lineRule="exact"/>
        <w:rPr>
          <w:sz w:val="20"/>
          <w:szCs w:val="20"/>
          <w:color w:val="auto"/>
        </w:rPr>
      </w:pPr>
    </w:p>
    <w:p>
      <w:pPr>
        <w:ind w:right="20" w:firstLine="391"/>
        <w:spacing w:after="0" w:line="266" w:lineRule="auto"/>
        <w:rPr>
          <w:sz w:val="20"/>
          <w:szCs w:val="20"/>
          <w:color w:val="auto"/>
        </w:rPr>
      </w:pPr>
      <w:r>
        <w:rPr>
          <w:rFonts w:ascii="Arial" w:cs="Arial" w:eastAsia="Arial" w:hAnsi="Arial"/>
          <w:sz w:val="15"/>
          <w:szCs w:val="15"/>
          <w:color w:val="auto"/>
        </w:rPr>
        <w:t>The Company consolidates VIEs in which it is considered to be the primary beneficiary. VIEs are entities in which the equity investors do not have sufficient equity at risk to finance their endeavors without additional financial support or that the holders of the equity investment at risk do not have substantive participating rights. The primary beneficiary is defined by the entity having both of the following characteristics: (1) the power to direct the activities that, when taken together, most significantly impact the variable interest entity’s performance, and (2) the obligation to absorb losses and the right to receive the returns from the variable interest entity that could potentially be significant to the VIE. For ventures that are not VIEs, the Company consolidates entities for which it has significant decision making control over the ventures’ operations. The Company’s judgment with respect to its level of influence or control of an entity involves the consideration of various factors including the form of the Company’s ownership interest, its representation in the entity’s governance, the size of its investment (including loans), estimates of future cash flows, its ability to participate in policy making decisions and the rights of the other investors to participate in the decision making process and to replace the Company as manager and/or liquidate the venture, if applicable. The Company’s assessment of its influence or control over an entity affects the presentation of these investments in the Company’s consolidated financial statements. In addition to evaluating control rights,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consolidates entities in which the outside partner has no substantive kick-out rights to remove the Company as the managing member.</w:t>
      </w:r>
    </w:p>
    <w:p>
      <w:pPr>
        <w:spacing w:after="0" w:line="148" w:lineRule="exact"/>
        <w:rPr>
          <w:sz w:val="20"/>
          <w:szCs w:val="20"/>
          <w:color w:val="auto"/>
        </w:rPr>
      </w:pPr>
    </w:p>
    <w:p>
      <w:pPr>
        <w:ind w:right="80" w:firstLine="391"/>
        <w:spacing w:after="0" w:line="247" w:lineRule="auto"/>
        <w:rPr>
          <w:sz w:val="20"/>
          <w:szCs w:val="20"/>
          <w:color w:val="auto"/>
        </w:rPr>
      </w:pPr>
      <w:r>
        <w:rPr>
          <w:rFonts w:ascii="Arial" w:cs="Arial" w:eastAsia="Arial" w:hAnsi="Arial"/>
          <w:sz w:val="16"/>
          <w:szCs w:val="16"/>
          <w:color w:val="auto"/>
        </w:rPr>
        <w:t>Accounts of the consolidated entity are included in the accounts of the Company and the noncontrolling interest is reflected on the Consolidated Balance Sheets as a component of equity or in temporary equity between liabilities and equity. Investments in unconsolidated joint ventures are recorded initially at cost, and subsequently adjusted for equity in earnings and cash contributions and distributions. Any difference between the carrying amount of these investments on the balance sheet and the underlying equity in net assets is amortized as an adjustment to equity in earnings of unconsolidated joint ventures over the life of the related asset. Under the equity method of accounting, the net equity investment of the Company is reflected within the Consolidated Balance Sheets, and the Company’s share of net income or loss from the joint ventures is included within the Consolidated Statements of Operations. The joint venture agreements may designate different percentage allocations among investors for profits and losses; however, the Company’s recognition of joint venture income or loss generally follows the joint venture’s distribution priorities, which may change upon the achievement of certain investment return thresholds. The Company may account for cash distributions in excess of its investment in an unconsolidated joint venture as income when the Company is not the general partner in a limited partnership and when the Company has neither the requirement nor the intent to provide financial support to the joint venture. The Company classifies distributions received from equity method investees within its Consolidated Statements of Cash Flows using the nature of the distribution approach, which classifies the distributions received on the basis of the nature of the activity or activities of the investee that generated the distribution as either a return on investment (classified as cash inflows from operating activities) or a return of investment (classified as cash inflows from investing activities). The Company’s investments in unconsolidated joint ventures are reviewed for indicators of impairment on a quarterly basis and the Company records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and market conditions. The Company will record an impairment charge if it determines that a decline in the fair value below the carrying amount of an investment in an unconsolidated joint venture is other-than-temporary. The fair value is calculated using discounted cash flows which is subjective and considers assumptions regarding future occupancy, future rental rates, future capital requirements, debt interest rates and availability, discount rates and capitalization rates that could differ materially from actual results in future periods.</w:t>
      </w:r>
    </w:p>
    <w:p>
      <w:pPr>
        <w:spacing w:after="0" w:line="147"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To the extent that the Company contributed assets to a joint venture, the Company’s investment in the joint venture was recorded at the Company’s cost basis in the assets that were contributed to the joint venture. To the extent that the Company’s cost basis is different than the basis reflected at the joint venture level, the basis difference is amortized over the life of the related asset and included in the Company’s share of equity in net income of the joint venture. In accordance with the provisions of ASC 610-20 “Gains and Losses from the Derecognition of Nonfinancial Assets” (“ASC 610-20”), the Company will recognize a full gain on both the retained and sold portions of real estate contributed or sold to a joint venture by recognizing its new equity method investment interest at fair value.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financial information of the unconsolidated joint ventures is disclosed in Note 6.</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Revenue Recognition</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In general, the Company commences lease/rental revenue recognition when the tenant takes possession of the leased space and the leased space is substantially ready for its intended use. Contractual lease/rental revenue is reported on a straight-line basis over the terms of the respective leases. The impact of the straight-line rent adjustment increased revenue by approximately $108.0 million, $104.3 million and $104.9 million for the years ended December 31, 2022, 2021 and 2020, respectively, as the revenue recorded exceeded amounts billed. Accrued rental income, as reported on the Consolidated Balance Sheets, represents cumulative lease/rental income earned in excess of rent payments received pursuant to the terms of the individual lease agreements.</w:t>
      </w:r>
    </w:p>
    <w:p>
      <w:pPr>
        <w:spacing w:after="0" w:line="140" w:lineRule="exact"/>
        <w:rPr>
          <w:sz w:val="20"/>
          <w:szCs w:val="20"/>
          <w:color w:val="auto"/>
        </w:rPr>
      </w:pPr>
    </w:p>
    <w:p>
      <w:pPr>
        <w:ind w:right="60" w:firstLine="391"/>
        <w:spacing w:after="0" w:line="269" w:lineRule="auto"/>
        <w:rPr>
          <w:sz w:val="20"/>
          <w:szCs w:val="20"/>
          <w:color w:val="auto"/>
        </w:rPr>
      </w:pPr>
      <w:r>
        <w:rPr>
          <w:rFonts w:ascii="Arial" w:cs="Arial" w:eastAsia="Arial" w:hAnsi="Arial"/>
          <w:sz w:val="15"/>
          <w:szCs w:val="15"/>
          <w:color w:val="auto"/>
        </w:rPr>
        <w:t>The Company must estimate the collectability of its accrued rent and accounts receivable balances related to lease revenue. When evaluating the collectability of tenants’ accrued rent and accounts receivable balances, management considers tenants’ creditworthiness, current economic trends and changes in tenants’ payment patterns, on a lease-by-lease basis. The Company writes-off the tenant’s receivable balance, including the accrued rent receivable, if the Company considers the balances no longer probable of collection. In addition, tenants in bankruptcy are analyzed and considerations are made in connection with the expected recovery of pre-petition and post-petition claims. If the Company deems the balances no longer probable of collection, the Company writes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them off and ceases recognizing lease income, including straight-line rent, unless cash is received (See Note 4). Following a write-off, if (1) the Company subsequently determines that it is probable it will collect substantially all the remaining lessee’s lease payments under the lease term and (2) the lease has not been modified since the write-off, the Company will then reinstate the accrued rent and accounts receivable write-offs, adjusting for the amount related to the period when the lease payments were considered not probable of collection. If the Company’s estimates of collectability differs from the cash received, then the timing and amount of the Company’s reported revenue could be impacted. The credit risk is mitigated by the high quality of the Company’s existing tenant base, reviews of prospective tenants’ risk profiles prior to lease execution and consistent monitoring of the Company’s portfolio to identify potential problem tenants.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recognizes acquired in-place “above-” and “below-market” leases at their fair values as rental revenue over the original term of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respective leases. The impact of the acquired in-place “above-” and “below-market” leases increased revenue by approximately $9.1 million, $4.2 million 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$6.5 million for the years ended December 31, 2022, 2021 and 2020, respectively. The following table summarizes the scheduled amortization of the Company’s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acquired “above-” and “below-market” lease intangibles for each of the five succeeding years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Acquired Above-Market Lease</w:t>
            </w:r>
          </w:p>
        </w:tc>
        <w:tc>
          <w:tcPr>
            <w:tcW w:w="160" w:type="dxa"/>
            <w:vAlign w:val="bottom"/>
          </w:tcPr>
          <w:p>
            <w:pPr>
              <w:spacing w:after="0"/>
              <w:rPr>
                <w:sz w:val="13"/>
                <w:szCs w:val="13"/>
                <w:color w:val="auto"/>
              </w:rPr>
            </w:pPr>
          </w:p>
        </w:tc>
        <w:tc>
          <w:tcPr>
            <w:tcW w:w="2040" w:type="dxa"/>
            <w:vAlign w:val="bottom"/>
          </w:tcPr>
          <w:p>
            <w:pPr>
              <w:jc w:val="right"/>
              <w:ind w:right="126"/>
              <w:spacing w:after="0"/>
              <w:rPr>
                <w:sz w:val="20"/>
                <w:szCs w:val="20"/>
                <w:color w:val="auto"/>
              </w:rPr>
            </w:pPr>
            <w:r>
              <w:rPr>
                <w:rFonts w:ascii="Arial" w:cs="Arial" w:eastAsia="Arial" w:hAnsi="Arial"/>
                <w:sz w:val="13"/>
                <w:szCs w:val="13"/>
                <w:b w:val="1"/>
                <w:bCs w:val="1"/>
                <w:color w:val="auto"/>
                <w:w w:val="98"/>
              </w:rPr>
              <w:t>Acquired Below-Market Lease</w:t>
            </w:r>
          </w:p>
        </w:tc>
      </w:tr>
      <w:tr>
        <w:trPr>
          <w:trHeight w:val="166"/>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9"/>
              </w:rPr>
              <w:t>Intangibles</w:t>
            </w:r>
          </w:p>
        </w:tc>
        <w:tc>
          <w:tcPr>
            <w:tcW w:w="160" w:type="dxa"/>
            <w:vAlign w:val="bottom"/>
          </w:tcPr>
          <w:p>
            <w:pPr>
              <w:spacing w:after="0"/>
              <w:rPr>
                <w:sz w:val="14"/>
                <w:szCs w:val="14"/>
                <w:color w:val="auto"/>
              </w:rPr>
            </w:pPr>
          </w:p>
        </w:tc>
        <w:tc>
          <w:tcPr>
            <w:tcW w:w="2040" w:type="dxa"/>
            <w:vAlign w:val="bottom"/>
          </w:tcPr>
          <w:p>
            <w:pPr>
              <w:jc w:val="right"/>
              <w:ind w:right="686"/>
              <w:spacing w:after="0"/>
              <w:rPr>
                <w:sz w:val="20"/>
                <w:szCs w:val="20"/>
                <w:color w:val="auto"/>
              </w:rPr>
            </w:pPr>
            <w:r>
              <w:rPr>
                <w:rFonts w:ascii="Arial" w:cs="Arial" w:eastAsia="Arial" w:hAnsi="Arial"/>
                <w:sz w:val="13"/>
                <w:szCs w:val="13"/>
                <w:b w:val="1"/>
                <w:bCs w:val="1"/>
                <w:color w:val="auto"/>
              </w:rPr>
              <w:t>Intangibles</w:t>
            </w:r>
          </w:p>
        </w:tc>
      </w:tr>
      <w:tr>
        <w:trPr>
          <w:trHeight w:val="193"/>
        </w:trPr>
        <w:tc>
          <w:tcPr>
            <w:tcW w:w="6320" w:type="dxa"/>
            <w:vAlign w:val="bottom"/>
            <w:tcBorders>
              <w:top w:val="single" w:sz="8" w:color="CCEEFF"/>
            </w:tcBorders>
            <w:shd w:val="clear" w:color="auto" w:fill="CCEEFF"/>
          </w:tcPr>
          <w:p>
            <w:pPr>
              <w:jc w:val="right"/>
              <w:ind w:right="5881"/>
              <w:spacing w:after="0"/>
              <w:rPr>
                <w:sz w:val="20"/>
                <w:szCs w:val="20"/>
                <w:color w:val="auto"/>
              </w:rPr>
            </w:pPr>
            <w:r>
              <w:rPr>
                <w:rFonts w:ascii="Arial" w:cs="Arial" w:eastAsia="Arial" w:hAnsi="Arial"/>
                <w:sz w:val="16"/>
                <w:szCs w:val="16"/>
                <w:color w:val="auto"/>
                <w:w w:val="95"/>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1,306</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13,439</w:t>
            </w:r>
          </w:p>
        </w:tc>
      </w:tr>
      <w:tr>
        <w:trPr>
          <w:trHeight w:val="201"/>
        </w:trPr>
        <w:tc>
          <w:tcPr>
            <w:tcW w:w="6320" w:type="dxa"/>
            <w:vAlign w:val="bottom"/>
          </w:tcPr>
          <w:p>
            <w:pPr>
              <w:jc w:val="right"/>
              <w:ind w:right="5881"/>
              <w:spacing w:after="0"/>
              <w:rPr>
                <w:sz w:val="20"/>
                <w:szCs w:val="20"/>
                <w:color w:val="auto"/>
              </w:rPr>
            </w:pPr>
            <w:r>
              <w:rPr>
                <w:rFonts w:ascii="Arial" w:cs="Arial" w:eastAsia="Arial" w:hAnsi="Arial"/>
                <w:sz w:val="16"/>
                <w:szCs w:val="16"/>
                <w:color w:val="auto"/>
                <w:w w:val="95"/>
              </w:rPr>
              <w:t>2024</w:t>
            </w:r>
          </w:p>
        </w:tc>
        <w:tc>
          <w:tcPr>
            <w:tcW w:w="160" w:type="dxa"/>
            <w:vAlign w:val="bottom"/>
          </w:tcPr>
          <w:p>
            <w:pPr>
              <w:spacing w:after="0"/>
              <w:rPr>
                <w:sz w:val="17"/>
                <w:szCs w:val="17"/>
                <w:color w:val="auto"/>
              </w:rPr>
            </w:pPr>
          </w:p>
        </w:tc>
        <w:tc>
          <w:tcPr>
            <w:tcW w:w="2040" w:type="dxa"/>
            <w:vAlign w:val="bottom"/>
          </w:tcPr>
          <w:p>
            <w:pPr>
              <w:jc w:val="right"/>
              <w:ind w:right="6"/>
              <w:spacing w:after="0"/>
              <w:rPr>
                <w:sz w:val="20"/>
                <w:szCs w:val="20"/>
                <w:color w:val="auto"/>
              </w:rPr>
            </w:pPr>
            <w:r>
              <w:rPr>
                <w:rFonts w:ascii="Arial" w:cs="Arial" w:eastAsia="Arial" w:hAnsi="Arial"/>
                <w:sz w:val="16"/>
                <w:szCs w:val="16"/>
                <w:color w:val="auto"/>
              </w:rPr>
              <w:t>401</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jc w:val="right"/>
              <w:ind w:right="6"/>
              <w:spacing w:after="0"/>
              <w:rPr>
                <w:sz w:val="20"/>
                <w:szCs w:val="20"/>
                <w:color w:val="auto"/>
              </w:rPr>
            </w:pPr>
            <w:r>
              <w:rPr>
                <w:rFonts w:ascii="Arial" w:cs="Arial" w:eastAsia="Arial" w:hAnsi="Arial"/>
                <w:sz w:val="16"/>
                <w:szCs w:val="16"/>
                <w:color w:val="auto"/>
              </w:rPr>
              <w:t>9,811</w:t>
            </w:r>
          </w:p>
        </w:tc>
      </w:tr>
      <w:tr>
        <w:trPr>
          <w:trHeight w:val="202"/>
        </w:trPr>
        <w:tc>
          <w:tcPr>
            <w:tcW w:w="6320" w:type="dxa"/>
            <w:vAlign w:val="bottom"/>
            <w:shd w:val="clear" w:color="auto" w:fill="CCEEFF"/>
          </w:tcPr>
          <w:p>
            <w:pPr>
              <w:jc w:val="right"/>
              <w:ind w:right="5881"/>
              <w:spacing w:after="0"/>
              <w:rPr>
                <w:sz w:val="20"/>
                <w:szCs w:val="20"/>
                <w:color w:val="auto"/>
              </w:rPr>
            </w:pPr>
            <w:r>
              <w:rPr>
                <w:rFonts w:ascii="Arial" w:cs="Arial" w:eastAsia="Arial" w:hAnsi="Arial"/>
                <w:sz w:val="16"/>
                <w:szCs w:val="16"/>
                <w:color w:val="auto"/>
                <w:w w:val="95"/>
              </w:rPr>
              <w:t>2025</w:t>
            </w: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389</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9,768</w:t>
            </w:r>
          </w:p>
        </w:tc>
      </w:tr>
      <w:tr>
        <w:trPr>
          <w:trHeight w:val="201"/>
        </w:trPr>
        <w:tc>
          <w:tcPr>
            <w:tcW w:w="6320" w:type="dxa"/>
            <w:vAlign w:val="bottom"/>
          </w:tcPr>
          <w:p>
            <w:pPr>
              <w:jc w:val="right"/>
              <w:ind w:right="5881"/>
              <w:spacing w:after="0"/>
              <w:rPr>
                <w:sz w:val="20"/>
                <w:szCs w:val="20"/>
                <w:color w:val="auto"/>
              </w:rPr>
            </w:pPr>
            <w:r>
              <w:rPr>
                <w:rFonts w:ascii="Arial" w:cs="Arial" w:eastAsia="Arial" w:hAnsi="Arial"/>
                <w:sz w:val="16"/>
                <w:szCs w:val="16"/>
                <w:color w:val="auto"/>
                <w:w w:val="95"/>
              </w:rPr>
              <w:t>2026</w:t>
            </w:r>
          </w:p>
        </w:tc>
        <w:tc>
          <w:tcPr>
            <w:tcW w:w="160" w:type="dxa"/>
            <w:vAlign w:val="bottom"/>
          </w:tcPr>
          <w:p>
            <w:pPr>
              <w:spacing w:after="0"/>
              <w:rPr>
                <w:sz w:val="17"/>
                <w:szCs w:val="17"/>
                <w:color w:val="auto"/>
              </w:rPr>
            </w:pPr>
          </w:p>
        </w:tc>
        <w:tc>
          <w:tcPr>
            <w:tcW w:w="2040" w:type="dxa"/>
            <w:vAlign w:val="bottom"/>
          </w:tcPr>
          <w:p>
            <w:pPr>
              <w:jc w:val="right"/>
              <w:ind w:right="6"/>
              <w:spacing w:after="0"/>
              <w:rPr>
                <w:sz w:val="20"/>
                <w:szCs w:val="20"/>
                <w:color w:val="auto"/>
              </w:rPr>
            </w:pPr>
            <w:r>
              <w:rPr>
                <w:rFonts w:ascii="Arial" w:cs="Arial" w:eastAsia="Arial" w:hAnsi="Arial"/>
                <w:sz w:val="16"/>
                <w:szCs w:val="16"/>
                <w:color w:val="auto"/>
              </w:rPr>
              <w:t>389</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jc w:val="right"/>
              <w:ind w:right="6"/>
              <w:spacing w:after="0"/>
              <w:rPr>
                <w:sz w:val="20"/>
                <w:szCs w:val="20"/>
                <w:color w:val="auto"/>
              </w:rPr>
            </w:pPr>
            <w:r>
              <w:rPr>
                <w:rFonts w:ascii="Arial" w:cs="Arial" w:eastAsia="Arial" w:hAnsi="Arial"/>
                <w:sz w:val="16"/>
                <w:szCs w:val="16"/>
                <w:color w:val="auto"/>
              </w:rPr>
              <w:t>8,647</w:t>
            </w:r>
          </w:p>
        </w:tc>
      </w:tr>
      <w:tr>
        <w:trPr>
          <w:trHeight w:val="202"/>
        </w:trPr>
        <w:tc>
          <w:tcPr>
            <w:tcW w:w="6320" w:type="dxa"/>
            <w:vAlign w:val="bottom"/>
            <w:shd w:val="clear" w:color="auto" w:fill="CCEEFF"/>
          </w:tcPr>
          <w:p>
            <w:pPr>
              <w:jc w:val="right"/>
              <w:ind w:right="5881"/>
              <w:spacing w:after="0"/>
              <w:rPr>
                <w:sz w:val="20"/>
                <w:szCs w:val="20"/>
                <w:color w:val="auto"/>
              </w:rPr>
            </w:pPr>
            <w:r>
              <w:rPr>
                <w:rFonts w:ascii="Arial" w:cs="Arial" w:eastAsia="Arial" w:hAnsi="Arial"/>
                <w:sz w:val="16"/>
                <w:szCs w:val="16"/>
                <w:color w:val="auto"/>
                <w:w w:val="95"/>
              </w:rPr>
              <w:t>2027</w:t>
            </w: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389</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5,477</w:t>
            </w:r>
          </w:p>
        </w:tc>
      </w:tr>
    </w:tbl>
    <w:p>
      <w:pPr>
        <w:spacing w:after="0" w:line="224" w:lineRule="exact"/>
        <w:rPr>
          <w:sz w:val="20"/>
          <w:szCs w:val="20"/>
          <w:color w:val="auto"/>
        </w:rPr>
      </w:pPr>
    </w:p>
    <w:p>
      <w:pPr>
        <w:ind w:right="220" w:firstLine="391"/>
        <w:spacing w:after="0" w:line="248" w:lineRule="auto"/>
        <w:rPr>
          <w:sz w:val="20"/>
          <w:szCs w:val="20"/>
          <w:color w:val="auto"/>
        </w:rPr>
      </w:pPr>
      <w:r>
        <w:rPr>
          <w:rFonts w:ascii="Arial" w:cs="Arial" w:eastAsia="Arial" w:hAnsi="Arial"/>
          <w:sz w:val="16"/>
          <w:szCs w:val="16"/>
          <w:color w:val="auto"/>
        </w:rPr>
        <w:t>Recoveries from tenants, consisting of amounts due from tenants for common area maintenance, real estate taxes and other recoverable costs, are recognized as revenue in the period during which the expenses are incurred (See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 The Company receives reimbursements of payroll and payroll related costs from unconsolidated joint venture entities and third party property owners in connection with management services contracts which the Company reflects on a gross basis instead of on a net basis as the Company has determined that it is the principal and not the agent under these arrangements in accordance with the guidance in ASC 606 “Revenue from Contracts with Customers” (“ASC 606”).</w:t>
      </w:r>
    </w:p>
    <w:p>
      <w:pPr>
        <w:spacing w:after="0" w:line="140" w:lineRule="exact"/>
        <w:rPr>
          <w:sz w:val="20"/>
          <w:szCs w:val="20"/>
          <w:color w:val="auto"/>
        </w:rPr>
      </w:pPr>
    </w:p>
    <w:p>
      <w:pPr>
        <w:ind w:right="60" w:firstLine="391"/>
        <w:spacing w:after="0" w:line="275" w:lineRule="auto"/>
        <w:rPr>
          <w:sz w:val="20"/>
          <w:szCs w:val="20"/>
          <w:color w:val="auto"/>
        </w:rPr>
      </w:pPr>
      <w:r>
        <w:rPr>
          <w:rFonts w:ascii="Arial" w:cs="Arial" w:eastAsia="Arial" w:hAnsi="Arial"/>
          <w:sz w:val="15"/>
          <w:szCs w:val="15"/>
          <w:color w:val="auto"/>
        </w:rPr>
        <w:t>The Company’s parking revenue is derived primarily from monthly and transient daily parking. In addition, the Company has certain lease arrangements for parking accounted for under the guidance in ASC 842 “Leases” (“ASC 842”). The monthly and transient daily parking revenue falls within the scope of ASC 606 and is accounted for at the point in time when control of the goods or services transfers to the customer and the Company’s performance obligation is satisfied.</w:t>
      </w:r>
    </w:p>
    <w:p>
      <w:pPr>
        <w:spacing w:after="0" w:line="118" w:lineRule="exact"/>
        <w:rPr>
          <w:sz w:val="20"/>
          <w:szCs w:val="20"/>
          <w:color w:val="auto"/>
        </w:rPr>
      </w:pPr>
    </w:p>
    <w:p>
      <w:pPr>
        <w:ind w:right="460" w:firstLine="391"/>
        <w:spacing w:after="0" w:line="250" w:lineRule="auto"/>
        <w:rPr>
          <w:sz w:val="20"/>
          <w:szCs w:val="20"/>
          <w:color w:val="auto"/>
        </w:rPr>
      </w:pPr>
      <w:r>
        <w:rPr>
          <w:rFonts w:ascii="Arial" w:cs="Arial" w:eastAsia="Arial" w:hAnsi="Arial"/>
          <w:sz w:val="16"/>
          <w:szCs w:val="16"/>
          <w:color w:val="auto"/>
        </w:rPr>
        <w:t>The Company’s hotel revenue is derived from room rentals and other sources such as charges to guests for telephone service, movie and vending commissions, meeting and banquet room revenue and laundry services. Hotel revenue is recognized as the hotel rooms are occupied and the services are rendered to the hotel customers.</w:t>
      </w:r>
    </w:p>
    <w:p>
      <w:pPr>
        <w:spacing w:after="0" w:line="136"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The Company earns management and development fees. Development and management services revenue is earned from unconsolidated joint venture entities and third-party property owners. The Company determined that the performance obligations associated with its development services contracts are satisfied over time and that the Company would recognize its development services revenue under the output method evenly over time from the development commencement date through the substantial completion date of the development management services project due to the stand-ready nature of the contracts. Significant judgments impacting the amount and timing of revenue recognized from the Company’s development services contracts include estimates of total development project costs from which the fees are typically derived and estimates of the period of time until substantial completion of the development project, the period of time over which the development services are required to be performed. The Company recognizes development fees earned from unconsolidated joint venture projects equal to its cost plus profit to the extent of the third party partners’ ownership interest. Property management fees are recorded and earned based on a percentage of collected rents at the properties under management, and not on a straight-line basis, because such fees are contingent upon the collection of rents.</w:t>
      </w:r>
    </w:p>
    <w:p>
      <w:pPr>
        <w:spacing w:after="0" w:line="137" w:lineRule="exact"/>
        <w:rPr>
          <w:sz w:val="20"/>
          <w:szCs w:val="20"/>
          <w:color w:val="auto"/>
        </w:rPr>
      </w:pPr>
    </w:p>
    <w:p>
      <w:pPr>
        <w:ind w:right="340" w:firstLine="391"/>
        <w:spacing w:after="0" w:line="253" w:lineRule="auto"/>
        <w:rPr>
          <w:sz w:val="20"/>
          <w:szCs w:val="20"/>
          <w:color w:val="auto"/>
        </w:rPr>
      </w:pPr>
      <w:r>
        <w:rPr>
          <w:rFonts w:ascii="Arial" w:cs="Arial" w:eastAsia="Arial" w:hAnsi="Arial"/>
          <w:sz w:val="16"/>
          <w:szCs w:val="16"/>
          <w:color w:val="auto"/>
        </w:rPr>
        <w:t>Gains on sales of real estate are recognized pursuant to the provisions included in ASC 610-20. Under ASC 610-20, the Company must first determine whether the transaction is a sale to a customer or non-customer. The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Company typically sells real estate on a selective basis and not within the ordinary course of its business and therefore expects that its sale transactions will not be contracts with customers. The Company next determines whether it has a controlling financial interest in the property after the sale, consistent with the consolidation model in ASC 810 “Consolidation” (“ASC 810”). If the Company determines that it does not have a controlling financial interest in the real estate, it evaluates whether a contract exists under ASC 606 and whether the buyer has obtained control of the asset that was sold. The Company recognizes a full gain on sale of real estate when the derecognition criteria under ASC 610-20 have been met.</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Leases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Lessee</w:t>
      </w:r>
    </w:p>
    <w:p>
      <w:pPr>
        <w:spacing w:after="0" w:line="77"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For leases in which the Company is the lessee (generally ground leases), in accordance with ASC 842 the Company recognizes a right-of-use asset and a lease liability. The Company made the policy election to not apply the requirements of ASC 842 to short-term leases. This policy election is made by class of underlying assets and as described below, the Company considers real estate to be a class of underlying assets, and will not be further delineating it into specific uses of the real estate asset as the risk profiles are similar in nature. The Company will recognize the lease payments it pays in net income on a straight-line basis over the lease term.</w:t>
      </w:r>
    </w:p>
    <w:p>
      <w:pPr>
        <w:spacing w:after="0" w:line="140" w:lineRule="exact"/>
        <w:rPr>
          <w:sz w:val="20"/>
          <w:szCs w:val="20"/>
          <w:color w:val="auto"/>
        </w:rPr>
      </w:pPr>
    </w:p>
    <w:p>
      <w:pPr>
        <w:ind w:right="180" w:firstLine="391"/>
        <w:spacing w:after="0" w:line="249" w:lineRule="auto"/>
        <w:rPr>
          <w:sz w:val="20"/>
          <w:szCs w:val="20"/>
          <w:color w:val="auto"/>
        </w:rPr>
      </w:pPr>
      <w:r>
        <w:rPr>
          <w:rFonts w:ascii="Arial" w:cs="Arial" w:eastAsia="Arial" w:hAnsi="Arial"/>
          <w:sz w:val="16"/>
          <w:szCs w:val="16"/>
          <w:color w:val="auto"/>
        </w:rPr>
        <w:t>The lease liability is equal to the present value of the minimum lease payments in accordance with ASC 842. The Company will use its incremental borrowing rate (“IBR”) to determine the net present value of the minimum lease payments. In order to determine the IBR, the Company utilized a market-based approach to estimate the incremental borrowing rate for each individual lease. The approach required significant judgment. Therefore, the Company utilized different data sets to estimate base IBRs via an analysis of the following weighted-components:</w:t>
      </w:r>
    </w:p>
    <w:p>
      <w:pPr>
        <w:spacing w:after="0" w:line="90" w:lineRule="exact"/>
        <w:rPr>
          <w:sz w:val="20"/>
          <w:szCs w:val="20"/>
          <w:color w:val="auto"/>
        </w:rPr>
      </w:pPr>
    </w:p>
    <w:p>
      <w:pPr>
        <w:ind w:left="560" w:right="260" w:hanging="281"/>
        <w:spacing w:after="0" w:line="253" w:lineRule="auto"/>
        <w:tabs>
          <w:tab w:leader="none" w:pos="55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interpolated rates from yields on outstanding U.S. Treasury issuances for up to 30 years and for years 31 and beyond, longer-term publicly traded educational institution debt issued by high credit quality educational institutions with maturity dates exceeding 31 years,</w:t>
      </w:r>
    </w:p>
    <w:p>
      <w:pPr>
        <w:spacing w:after="0" w:line="86" w:lineRule="exact"/>
        <w:rPr>
          <w:rFonts w:ascii="Arial" w:cs="Arial" w:eastAsia="Arial" w:hAnsi="Arial"/>
          <w:sz w:val="16"/>
          <w:szCs w:val="16"/>
          <w:color w:val="auto"/>
        </w:rPr>
      </w:pPr>
    </w:p>
    <w:p>
      <w:pPr>
        <w:ind w:left="560" w:hanging="281"/>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observable mortgage rates spread over U.S. Treasury issuances, and</w:t>
      </w:r>
    </w:p>
    <w:p>
      <w:pPr>
        <w:spacing w:after="0" w:line="100" w:lineRule="exact"/>
        <w:rPr>
          <w:rFonts w:ascii="Arial" w:cs="Arial" w:eastAsia="Arial" w:hAnsi="Arial"/>
          <w:sz w:val="16"/>
          <w:szCs w:val="16"/>
          <w:color w:val="auto"/>
        </w:rPr>
      </w:pPr>
    </w:p>
    <w:p>
      <w:pPr>
        <w:ind w:left="560" w:hanging="281"/>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unlevered property yields and discount rates.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then applied adjustments to account for considerations related to term and interpolated the IBR.</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Lessor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Operating Leases</w:t>
      </w:r>
    </w:p>
    <w:p>
      <w:pPr>
        <w:spacing w:after="0" w:line="105" w:lineRule="exact"/>
        <w:rPr>
          <w:sz w:val="20"/>
          <w:szCs w:val="20"/>
          <w:color w:val="auto"/>
        </w:rPr>
      </w:pPr>
    </w:p>
    <w:p>
      <w:pPr>
        <w:ind w:right="240" w:firstLine="391"/>
        <w:spacing w:after="0" w:line="249" w:lineRule="auto"/>
        <w:rPr>
          <w:sz w:val="20"/>
          <w:szCs w:val="20"/>
          <w:color w:val="auto"/>
        </w:rPr>
      </w:pPr>
      <w:r>
        <w:rPr>
          <w:rFonts w:ascii="Arial" w:cs="Arial" w:eastAsia="Arial" w:hAnsi="Arial"/>
          <w:sz w:val="16"/>
          <w:szCs w:val="16"/>
          <w:color w:val="auto"/>
        </w:rPr>
        <w:t>The Company leases primarily premier workplaces, including office, life sciences, retail and residential space to tenants. These leases may contain extension and termination options that are predominately at the sole discretion of the tenant, provided certain conditions are satisfied. In a few instances, the leases also contain purchase options, which would be exercisable at fair market value. Also, certain of the Company’s leases include rental payments that are based on a percentage of the tenant sales in excess of contractual amounts.</w:t>
      </w:r>
    </w:p>
    <w:p>
      <w:pPr>
        <w:spacing w:after="0" w:line="137"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Per ASC 842, lessors do not need to separate nonlease components from the associated lease component if certain criteria stated above are met for each class of underlying assets. The guidance in ASC 842 defines “underlying asset” as “an asset that is the subject of a lease for which a right to use that asset has been conveyed to a lessee. The underlying asset could be a physically distinct portion of a single asset.” Based on the above guidance, the Company considers real estate assets as a class of underlying assets and will not be further delineating it into specific uses of the real estate asset as the risk profiles are similar in nature.</w:t>
      </w:r>
    </w:p>
    <w:p>
      <w:pPr>
        <w:spacing w:after="0" w:line="140"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(office, life sciences, retail or residential).</w:t>
      </w:r>
    </w:p>
    <w:p>
      <w:pPr>
        <w:spacing w:after="0" w:line="140"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The Company assessed and concluded that the timing and pattern of transfer for nonlease components and the associated lease component are the same. The Company determined that the predominant component was the lease component and as such its leases will continue to qualify as operating leases and the Company has made a</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policy election to account for and present the lease component and the nonlease component as a single component in the revenue section of the Consolidated Statements of Operations labeled Lease.</w:t>
      </w:r>
    </w:p>
    <w:p>
      <w:pPr>
        <w:spacing w:after="0" w:line="134"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Recoveries from tenants, consisting of amounts due from tenants for common area maintenance, real estate taxes and other recoverable costs, are recognized as revenue in the period during which the expenses are incurred. The Company recognizes these reimbursements on a gross basis, as the Company obtains control of the goods and services before they are transferred to the tenant.</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in accordance with ASC 842, lessors will only capitalize incremental direct leasing costs.</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Sales-Type Leases</w:t>
      </w:r>
    </w:p>
    <w:p>
      <w:pPr>
        <w:spacing w:after="0" w:line="93" w:lineRule="exact"/>
        <w:rPr>
          <w:sz w:val="20"/>
          <w:szCs w:val="20"/>
          <w:color w:val="auto"/>
        </w:rPr>
      </w:pPr>
    </w:p>
    <w:p>
      <w:pPr>
        <w:ind w:right="400" w:firstLine="391"/>
        <w:spacing w:after="0" w:line="269" w:lineRule="auto"/>
        <w:rPr>
          <w:sz w:val="20"/>
          <w:szCs w:val="20"/>
          <w:color w:val="auto"/>
        </w:rPr>
      </w:pPr>
      <w:r>
        <w:rPr>
          <w:rFonts w:ascii="Arial" w:cs="Arial" w:eastAsia="Arial" w:hAnsi="Arial"/>
          <w:sz w:val="15"/>
          <w:szCs w:val="15"/>
          <w:color w:val="auto"/>
        </w:rPr>
        <w:t>Sales-type lease receivables are recognized when a lease qualifies as a sales-type lease. The sales-type lease receivable is initially measured at the present value of the fixed and determinable lease payments, including any guaranteed or unguaranteed residual value of the asset at the end of the lease, discounted at the rate implicit in the lease. The Company evaluates its sales-type lease receivable for impairment under the current expected credit loss standard. Interest income is recognized under the effective interest method. The effective interest method produces a constant yield on the sales-type lease receivable over the term of the lease. Income from these leases are classified as Lease Revenue within the Consolidated Statement of Operations.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Earnings Per Share</w:t>
      </w:r>
    </w:p>
    <w:p>
      <w:pPr>
        <w:spacing w:after="0" w:line="105" w:lineRule="exact"/>
        <w:rPr>
          <w:sz w:val="20"/>
          <w:szCs w:val="20"/>
          <w:color w:val="auto"/>
        </w:rPr>
      </w:pPr>
    </w:p>
    <w:p>
      <w:pPr>
        <w:ind w:right="160" w:firstLine="391"/>
        <w:spacing w:after="0" w:line="249" w:lineRule="auto"/>
        <w:rPr>
          <w:sz w:val="20"/>
          <w:szCs w:val="20"/>
          <w:color w:val="auto"/>
        </w:rPr>
      </w:pPr>
      <w:r>
        <w:rPr>
          <w:rFonts w:ascii="Arial" w:cs="Arial" w:eastAsia="Arial" w:hAnsi="Arial"/>
          <w:sz w:val="16"/>
          <w:szCs w:val="16"/>
          <w:color w:val="auto"/>
        </w:rPr>
        <w:t>Basic earnings per share (“EPS”) is computed by dividing net income available to common shareholders, as adjusted for undistributed earnings (if any) of certain securities issued by BPLP, by the weighted average number of shares of Common Stock outstanding during the year. Diluted EPS reflects the potential dilution that could occur from shares issuable in connection with awards under stock-based compensation plans, including upon the exercise of stock options, and securities of BPLP that are exchangeable for Common Stock.</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Earnings Per Common Unit</w:t>
      </w:r>
    </w:p>
    <w:p>
      <w:pPr>
        <w:spacing w:after="0" w:line="105" w:lineRule="exact"/>
        <w:rPr>
          <w:sz w:val="20"/>
          <w:szCs w:val="20"/>
          <w:color w:val="auto"/>
        </w:rPr>
      </w:pPr>
    </w:p>
    <w:p>
      <w:pPr>
        <w:ind w:right="120" w:firstLine="391"/>
        <w:spacing w:after="0" w:line="249" w:lineRule="auto"/>
        <w:rPr>
          <w:sz w:val="20"/>
          <w:szCs w:val="20"/>
          <w:color w:val="auto"/>
        </w:rPr>
      </w:pPr>
      <w:r>
        <w:rPr>
          <w:rFonts w:ascii="Arial" w:cs="Arial" w:eastAsia="Arial" w:hAnsi="Arial"/>
          <w:sz w:val="16"/>
          <w:szCs w:val="16"/>
          <w:color w:val="auto"/>
        </w:rPr>
        <w:t>Basic earnings per common unit is computed by dividing net income available to common unitholders, as adjusted for undistributed earnings (if any) of certain securities issued by BPLP, by the weighted average number of common units outstanding during the year. Diluted earnings per common unit reflects the potential dilution that could occur from units issuable in connection with awards under BXP’s stock-based compensation plans, including upon the exercise of stock options, and conversion of preferred units of BPLP.</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Recurring Fair Value of Financial Instruments</w:t>
      </w:r>
    </w:p>
    <w:p>
      <w:pPr>
        <w:spacing w:after="0" w:line="93" w:lineRule="exact"/>
        <w:rPr>
          <w:sz w:val="20"/>
          <w:szCs w:val="20"/>
          <w:color w:val="auto"/>
        </w:rPr>
      </w:pPr>
    </w:p>
    <w:p>
      <w:pPr>
        <w:ind w:right="180" w:firstLine="391"/>
        <w:spacing w:after="0" w:line="250" w:lineRule="auto"/>
        <w:rPr>
          <w:sz w:val="20"/>
          <w:szCs w:val="20"/>
          <w:color w:val="auto"/>
        </w:rPr>
      </w:pPr>
      <w:r>
        <w:rPr>
          <w:rFonts w:ascii="Arial" w:cs="Arial" w:eastAsia="Arial" w:hAnsi="Arial"/>
          <w:sz w:val="16"/>
          <w:szCs w:val="16"/>
          <w:color w:val="auto"/>
        </w:rPr>
        <w:t>The Company follows the authoritative guidance for fair value measurements when valuing its financial instruments for disclosure purposes. The table below presents for December 31, 2022 and 2021, the financial instruments that are being valued for disclosure purposes as well as the Level at which they are categorized as defined in ASC 820 “Fair Value Measurements and Disclosures” (“ASC 820”).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824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Level</w:t>
            </w:r>
          </w:p>
        </w:tc>
      </w:tr>
      <w:tr>
        <w:trPr>
          <w:trHeight w:val="194"/>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senior notes (1)</w:t>
            </w:r>
          </w:p>
        </w:tc>
        <w:tc>
          <w:tcPr>
            <w:tcW w:w="82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Level 1</w:t>
            </w:r>
          </w:p>
        </w:tc>
      </w:tr>
      <w:tr>
        <w:trPr>
          <w:trHeight w:val="201"/>
        </w:trPr>
        <w:tc>
          <w:tcPr>
            <w:tcW w:w="2980" w:type="dxa"/>
            <w:vAlign w:val="bottom"/>
          </w:tcPr>
          <w:p>
            <w:pPr>
              <w:ind w:left="20"/>
              <w:spacing w:after="0"/>
              <w:rPr>
                <w:sz w:val="20"/>
                <w:szCs w:val="20"/>
                <w:color w:val="auto"/>
              </w:rPr>
            </w:pPr>
            <w:r>
              <w:rPr>
                <w:rFonts w:ascii="Arial" w:cs="Arial" w:eastAsia="Arial" w:hAnsi="Arial"/>
                <w:sz w:val="16"/>
                <w:szCs w:val="16"/>
                <w:color w:val="auto"/>
              </w:rPr>
              <w:t>Related party note receivable</w:t>
            </w:r>
          </w:p>
        </w:tc>
        <w:tc>
          <w:tcPr>
            <w:tcW w:w="8240" w:type="dxa"/>
            <w:vAlign w:val="bottom"/>
          </w:tcPr>
          <w:p>
            <w:pPr>
              <w:ind w:left="900"/>
              <w:spacing w:after="0"/>
              <w:rPr>
                <w:sz w:val="20"/>
                <w:szCs w:val="20"/>
                <w:color w:val="auto"/>
              </w:rPr>
            </w:pPr>
            <w:r>
              <w:rPr>
                <w:rFonts w:ascii="Arial" w:cs="Arial" w:eastAsia="Arial" w:hAnsi="Arial"/>
                <w:sz w:val="16"/>
                <w:szCs w:val="16"/>
                <w:color w:val="auto"/>
              </w:rPr>
              <w:t>Level 3</w:t>
            </w:r>
          </w:p>
        </w:tc>
      </w:tr>
      <w:tr>
        <w:trPr>
          <w:trHeight w:val="20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82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Level 3</w:t>
            </w:r>
          </w:p>
        </w:tc>
      </w:tr>
      <w:tr>
        <w:trPr>
          <w:trHeight w:val="201"/>
        </w:trPr>
        <w:tc>
          <w:tcPr>
            <w:tcW w:w="2980" w:type="dxa"/>
            <w:vAlign w:val="bottom"/>
          </w:tcPr>
          <w:p>
            <w:pPr>
              <w:ind w:left="20"/>
              <w:spacing w:after="0"/>
              <w:rPr>
                <w:sz w:val="20"/>
                <w:szCs w:val="20"/>
                <w:color w:val="auto"/>
              </w:rPr>
            </w:pPr>
            <w:r>
              <w:rPr>
                <w:rFonts w:ascii="Arial" w:cs="Arial" w:eastAsia="Arial" w:hAnsi="Arial"/>
                <w:sz w:val="16"/>
                <w:szCs w:val="16"/>
                <w:color w:val="auto"/>
              </w:rPr>
              <w:t>Sales-type lease receivable</w:t>
            </w:r>
          </w:p>
        </w:tc>
        <w:tc>
          <w:tcPr>
            <w:tcW w:w="8240" w:type="dxa"/>
            <w:vAlign w:val="bottom"/>
          </w:tcPr>
          <w:p>
            <w:pPr>
              <w:ind w:left="900"/>
              <w:spacing w:after="0"/>
              <w:rPr>
                <w:sz w:val="20"/>
                <w:szCs w:val="20"/>
                <w:color w:val="auto"/>
              </w:rPr>
            </w:pPr>
            <w:r>
              <w:rPr>
                <w:rFonts w:ascii="Arial" w:cs="Arial" w:eastAsia="Arial" w:hAnsi="Arial"/>
                <w:sz w:val="16"/>
                <w:szCs w:val="16"/>
                <w:color w:val="auto"/>
              </w:rPr>
              <w:t>Level 3</w:t>
            </w:r>
          </w:p>
        </w:tc>
      </w:tr>
      <w:tr>
        <w:trPr>
          <w:trHeight w:val="20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notes payable</w:t>
            </w:r>
          </w:p>
        </w:tc>
        <w:tc>
          <w:tcPr>
            <w:tcW w:w="82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Level 3</w:t>
            </w:r>
          </w:p>
        </w:tc>
      </w:tr>
      <w:tr>
        <w:trPr>
          <w:trHeight w:val="201"/>
        </w:trPr>
        <w:tc>
          <w:tcPr>
            <w:tcW w:w="2980" w:type="dxa"/>
            <w:vAlign w:val="bottom"/>
          </w:tcPr>
          <w:p>
            <w:pPr>
              <w:ind w:left="20"/>
              <w:spacing w:after="0"/>
              <w:rPr>
                <w:sz w:val="20"/>
                <w:szCs w:val="20"/>
                <w:color w:val="auto"/>
              </w:rPr>
            </w:pPr>
            <w:r>
              <w:rPr>
                <w:rFonts w:ascii="Arial" w:cs="Arial" w:eastAsia="Arial" w:hAnsi="Arial"/>
                <w:sz w:val="16"/>
                <w:szCs w:val="16"/>
                <w:color w:val="auto"/>
              </w:rPr>
              <w:t>Unsecured line of credit</w:t>
            </w:r>
          </w:p>
        </w:tc>
        <w:tc>
          <w:tcPr>
            <w:tcW w:w="8240" w:type="dxa"/>
            <w:vAlign w:val="bottom"/>
          </w:tcPr>
          <w:p>
            <w:pPr>
              <w:ind w:left="900"/>
              <w:spacing w:after="0"/>
              <w:rPr>
                <w:sz w:val="20"/>
                <w:szCs w:val="20"/>
                <w:color w:val="auto"/>
              </w:rPr>
            </w:pPr>
            <w:r>
              <w:rPr>
                <w:rFonts w:ascii="Arial" w:cs="Arial" w:eastAsia="Arial" w:hAnsi="Arial"/>
                <w:sz w:val="16"/>
                <w:szCs w:val="16"/>
                <w:color w:val="auto"/>
              </w:rPr>
              <w:t>Level 3</w:t>
            </w:r>
          </w:p>
        </w:tc>
      </w:tr>
      <w:tr>
        <w:trPr>
          <w:trHeight w:val="20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term loan</w:t>
            </w:r>
          </w:p>
        </w:tc>
        <w:tc>
          <w:tcPr>
            <w:tcW w:w="82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Level 3</w:t>
            </w:r>
          </w:p>
        </w:tc>
      </w:tr>
      <w:tr>
        <w:trPr>
          <w:trHeight w:val="271"/>
        </w:trPr>
        <w:tc>
          <w:tcPr>
            <w:tcW w:w="2980" w:type="dxa"/>
            <w:vAlign w:val="bottom"/>
          </w:tcPr>
          <w:p>
            <w:pPr>
              <w:spacing w:after="0"/>
              <w:rPr>
                <w:sz w:val="20"/>
                <w:szCs w:val="20"/>
                <w:color w:val="auto"/>
              </w:rPr>
            </w:pPr>
            <w:r>
              <w:rPr>
                <w:rFonts w:ascii="Arial" w:cs="Arial" w:eastAsia="Arial" w:hAnsi="Arial"/>
                <w:sz w:val="16"/>
                <w:szCs w:val="16"/>
                <w:color w:val="auto"/>
              </w:rPr>
              <w:t>_______________</w:t>
            </w:r>
          </w:p>
        </w:tc>
        <w:tc>
          <w:tcPr>
            <w:tcW w:w="8240" w:type="dxa"/>
            <w:vAlign w:val="bottom"/>
          </w:tcPr>
          <w:p>
            <w:pPr>
              <w:spacing w:after="0"/>
              <w:rPr>
                <w:sz w:val="23"/>
                <w:szCs w:val="23"/>
                <w:color w:val="auto"/>
              </w:rPr>
            </w:pPr>
          </w:p>
        </w:tc>
      </w:tr>
    </w:tbl>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If trading volume for the period is low, the valuation could be categorized as Level 2.</w:t>
      </w:r>
    </w:p>
    <w:p>
      <w:pPr>
        <w:spacing w:after="0" w:line="228" w:lineRule="exact"/>
        <w:rPr>
          <w:sz w:val="20"/>
          <w:szCs w:val="20"/>
          <w:color w:val="auto"/>
        </w:rPr>
      </w:pPr>
    </w:p>
    <w:p>
      <w:pPr>
        <w:ind w:right="120" w:firstLine="391"/>
        <w:spacing w:after="0" w:line="253" w:lineRule="auto"/>
        <w:rPr>
          <w:sz w:val="20"/>
          <w:szCs w:val="20"/>
          <w:color w:val="auto"/>
        </w:rPr>
      </w:pPr>
      <w:r>
        <w:rPr>
          <w:rFonts w:ascii="Arial" w:cs="Arial" w:eastAsia="Arial" w:hAnsi="Arial"/>
          <w:sz w:val="16"/>
          <w:szCs w:val="16"/>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134"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In addition, the Company’s estimated fair values for these instruments as of the end of the applicable reporting period are not projections of, nor necessarily indicative of, estimated or actual fair values in future reporting periods.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80" w:firstLine="391"/>
        <w:spacing w:after="0" w:line="250" w:lineRule="auto"/>
        <w:rPr>
          <w:sz w:val="20"/>
          <w:szCs w:val="20"/>
          <w:color w:val="auto"/>
        </w:rPr>
      </w:pPr>
      <w:r>
        <w:rPr>
          <w:rFonts w:ascii="Arial" w:cs="Arial" w:eastAsia="Arial" w:hAnsi="Arial"/>
          <w:sz w:val="16"/>
          <w:szCs w:val="16"/>
          <w:color w:val="auto"/>
        </w:rPr>
        <w:t>The following table presents the aggregate carrying value of the Company’s related party note receivable, net, notes receivable, net, sales-type lease receivable, net, mortgage notes payable, net, unsecured senior notes, net, unsecured line of credit and unsecured term loan, net and the Company’s corresponding estimate of fair value as of December 31, 2022 and December 31, 2021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2022</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3"/>
                <w:szCs w:val="13"/>
                <w:b w:val="1"/>
                <w:bCs w:val="1"/>
                <w:color w:val="auto"/>
              </w:rPr>
              <w:t>December 31, 2021</w:t>
            </w:r>
          </w:p>
        </w:tc>
      </w:tr>
      <w:tr>
        <w:trPr>
          <w:trHeight w:val="127"/>
        </w:trPr>
        <w:tc>
          <w:tcPr>
            <w:tcW w:w="4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ind w:left="240"/>
              <w:spacing w:after="0" w:line="127" w:lineRule="exact"/>
              <w:rPr>
                <w:sz w:val="20"/>
                <w:szCs w:val="20"/>
                <w:color w:val="auto"/>
              </w:rPr>
            </w:pPr>
            <w:r>
              <w:rPr>
                <w:rFonts w:ascii="Arial" w:cs="Arial" w:eastAsia="Arial" w:hAnsi="Arial"/>
                <w:sz w:val="13"/>
                <w:szCs w:val="13"/>
                <w:b w:val="1"/>
                <w:bCs w:val="1"/>
                <w:color w:val="auto"/>
              </w:rPr>
              <w:t>Carrying</w:t>
            </w:r>
          </w:p>
        </w:tc>
        <w:tc>
          <w:tcPr>
            <w:tcW w:w="380" w:type="dxa"/>
            <w:vAlign w:val="bottom"/>
          </w:tcPr>
          <w:p>
            <w:pPr>
              <w:spacing w:after="0"/>
              <w:rPr>
                <w:sz w:val="11"/>
                <w:szCs w:val="11"/>
                <w:color w:val="auto"/>
              </w:rPr>
            </w:pPr>
          </w:p>
        </w:tc>
        <w:tc>
          <w:tcPr>
            <w:tcW w:w="1380" w:type="dxa"/>
            <w:vAlign w:val="bottom"/>
            <w:gridSpan w:val="2"/>
          </w:tcPr>
          <w:p>
            <w:pPr>
              <w:ind w:left="20"/>
              <w:spacing w:after="0" w:line="127" w:lineRule="exact"/>
              <w:rPr>
                <w:sz w:val="20"/>
                <w:szCs w:val="20"/>
                <w:color w:val="auto"/>
              </w:rPr>
            </w:pPr>
            <w:r>
              <w:rPr>
                <w:rFonts w:ascii="Arial" w:cs="Arial" w:eastAsia="Arial" w:hAnsi="Arial"/>
                <w:sz w:val="13"/>
                <w:szCs w:val="13"/>
                <w:b w:val="1"/>
                <w:bCs w:val="1"/>
                <w:color w:val="auto"/>
              </w:rPr>
              <w:t>Estimated</w:t>
            </w:r>
          </w:p>
        </w:tc>
        <w:tc>
          <w:tcPr>
            <w:tcW w:w="280" w:type="dxa"/>
            <w:vAlign w:val="bottom"/>
          </w:tcPr>
          <w:p>
            <w:pPr>
              <w:spacing w:after="0"/>
              <w:rPr>
                <w:sz w:val="11"/>
                <w:szCs w:val="11"/>
                <w:color w:val="auto"/>
              </w:rPr>
            </w:pPr>
          </w:p>
        </w:tc>
        <w:tc>
          <w:tcPr>
            <w:tcW w:w="1260" w:type="dxa"/>
            <w:vAlign w:val="bottom"/>
            <w:gridSpan w:val="2"/>
          </w:tcPr>
          <w:p>
            <w:pPr>
              <w:ind w:left="180"/>
              <w:spacing w:after="0" w:line="127" w:lineRule="exact"/>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1"/>
                <w:szCs w:val="11"/>
                <w:color w:val="auto"/>
              </w:rPr>
            </w:pPr>
          </w:p>
        </w:tc>
        <w:tc>
          <w:tcPr>
            <w:tcW w:w="1180" w:type="dxa"/>
            <w:vAlign w:val="bottom"/>
          </w:tcPr>
          <w:p>
            <w:pPr>
              <w:jc w:val="right"/>
              <w:ind w:right="344"/>
              <w:spacing w:after="0" w:line="127" w:lineRule="exact"/>
              <w:rPr>
                <w:sz w:val="20"/>
                <w:szCs w:val="20"/>
                <w:color w:val="auto"/>
              </w:rPr>
            </w:pPr>
            <w:r>
              <w:rPr>
                <w:rFonts w:ascii="Arial" w:cs="Arial" w:eastAsia="Arial" w:hAnsi="Arial"/>
                <w:sz w:val="13"/>
                <w:szCs w:val="13"/>
                <w:b w:val="1"/>
                <w:bCs w:val="1"/>
                <w:color w:val="auto"/>
              </w:rPr>
              <w:t>Estimated</w:t>
            </w:r>
          </w:p>
        </w:tc>
      </w:tr>
      <w:tr>
        <w:trPr>
          <w:trHeight w:val="166"/>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ind w:left="280"/>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4"/>
                <w:szCs w:val="14"/>
                <w:color w:val="auto"/>
              </w:rPr>
            </w:pPr>
          </w:p>
        </w:tc>
        <w:tc>
          <w:tcPr>
            <w:tcW w:w="1180" w:type="dxa"/>
            <w:vAlign w:val="bottom"/>
          </w:tcPr>
          <w:p>
            <w:pPr>
              <w:jc w:val="right"/>
              <w:ind w:right="344"/>
              <w:spacing w:after="0"/>
              <w:rPr>
                <w:sz w:val="20"/>
                <w:szCs w:val="20"/>
                <w:color w:val="auto"/>
              </w:rPr>
            </w:pPr>
            <w:r>
              <w:rPr>
                <w:rFonts w:ascii="Arial" w:cs="Arial" w:eastAsia="Arial" w:hAnsi="Arial"/>
                <w:sz w:val="13"/>
                <w:szCs w:val="13"/>
                <w:b w:val="1"/>
                <w:bCs w:val="1"/>
                <w:color w:val="auto"/>
              </w:rPr>
              <w:t>Fair Value</w:t>
            </w:r>
          </w:p>
        </w:tc>
      </w:tr>
      <w:tr>
        <w:trPr>
          <w:trHeight w:val="193"/>
        </w:trPr>
        <w:tc>
          <w:tcPr>
            <w:tcW w:w="4660" w:type="dxa"/>
            <w:vAlign w:val="bottom"/>
            <w:tcBorders>
              <w:top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Related party note receivable, net</w:t>
            </w: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79,220</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78,336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82,867</w:t>
            </w:r>
          </w:p>
        </w:tc>
      </w:tr>
      <w:tr>
        <w:trPr>
          <w:trHeight w:val="201"/>
        </w:trPr>
        <w:tc>
          <w:tcPr>
            <w:tcW w:w="4660" w:type="dxa"/>
            <w:vAlign w:val="bottom"/>
          </w:tcPr>
          <w:p>
            <w:pPr>
              <w:ind w:left="20"/>
              <w:spacing w:after="0"/>
              <w:rPr>
                <w:sz w:val="20"/>
                <w:szCs w:val="20"/>
                <w:color w:val="auto"/>
              </w:rPr>
            </w:pPr>
            <w:r>
              <w:rPr>
                <w:rFonts w:ascii="Arial" w:cs="Arial" w:eastAsia="Arial" w:hAnsi="Arial"/>
                <w:sz w:val="16"/>
                <w:szCs w:val="16"/>
                <w:color w:val="auto"/>
              </w:rPr>
              <w:t>Note receivable, net</w:t>
            </w:r>
          </w:p>
        </w:tc>
        <w:tc>
          <w:tcPr>
            <w:tcW w:w="36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9,641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10,000</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193"/>
        </w:trPr>
        <w:tc>
          <w:tcPr>
            <w:tcW w:w="4660" w:type="dxa"/>
            <w:vAlign w:val="bottom"/>
          </w:tcPr>
          <w:p>
            <w:pPr>
              <w:ind w:left="300"/>
              <w:spacing w:after="0" w:line="180"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91,387</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92,265</w:t>
            </w:r>
          </w:p>
        </w:tc>
        <w:tc>
          <w:tcPr>
            <w:tcW w:w="3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87,977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92,867</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1"/>
        </w:trPr>
        <w:tc>
          <w:tcPr>
            <w:tcW w:w="4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4660" w:type="dxa"/>
            <w:vAlign w:val="bottom"/>
          </w:tcPr>
          <w:p>
            <w:pPr>
              <w:ind w:left="20"/>
              <w:spacing w:after="0"/>
              <w:rPr>
                <w:sz w:val="20"/>
                <w:szCs w:val="20"/>
                <w:color w:val="auto"/>
              </w:rPr>
            </w:pPr>
            <w:r>
              <w:rPr>
                <w:rFonts w:ascii="Arial" w:cs="Arial" w:eastAsia="Arial" w:hAnsi="Arial"/>
                <w:sz w:val="16"/>
                <w:szCs w:val="16"/>
                <w:color w:val="auto"/>
              </w:rPr>
              <w:t>Mortgage notes payable, net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3,272,368</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2,744,479</w:t>
            </w:r>
          </w:p>
        </w:tc>
        <w:tc>
          <w:tcPr>
            <w:tcW w:w="34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3,267,914</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3,395,569</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senior notes, net</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10,237,968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9,135,512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9,483,695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9,966,591</w:t>
            </w:r>
          </w:p>
        </w:tc>
      </w:tr>
      <w:tr>
        <w:trPr>
          <w:trHeight w:val="201"/>
        </w:trPr>
        <w:tc>
          <w:tcPr>
            <w:tcW w:w="4660" w:type="dxa"/>
            <w:vAlign w:val="bottom"/>
          </w:tcPr>
          <w:p>
            <w:pPr>
              <w:ind w:left="20"/>
              <w:spacing w:after="0"/>
              <w:rPr>
                <w:sz w:val="20"/>
                <w:szCs w:val="20"/>
                <w:color w:val="auto"/>
              </w:rPr>
            </w:pPr>
            <w:r>
              <w:rPr>
                <w:rFonts w:ascii="Arial" w:cs="Arial" w:eastAsia="Arial" w:hAnsi="Arial"/>
                <w:sz w:val="16"/>
                <w:szCs w:val="16"/>
                <w:color w:val="auto"/>
              </w:rPr>
              <w:t>Unsecured line of credit</w:t>
            </w:r>
          </w:p>
        </w:tc>
        <w:tc>
          <w:tcPr>
            <w:tcW w:w="36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145,317</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term loan, net</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193"/>
        </w:trPr>
        <w:tc>
          <w:tcPr>
            <w:tcW w:w="4660" w:type="dxa"/>
            <w:vAlign w:val="bottom"/>
          </w:tcPr>
          <w:p>
            <w:pPr>
              <w:ind w:left="300"/>
              <w:spacing w:after="0" w:line="180"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14,240,336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12,609,991</w:t>
            </w:r>
          </w:p>
        </w:tc>
        <w:tc>
          <w:tcPr>
            <w:tcW w:w="3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12,896,609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13,507,477</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356"/>
        <w:spacing w:after="0" w:line="266" w:lineRule="auto"/>
        <w:rPr>
          <w:sz w:val="20"/>
          <w:szCs w:val="20"/>
          <w:color w:val="auto"/>
        </w:rPr>
      </w:pPr>
      <w:r>
        <w:rPr>
          <w:rFonts w:ascii="Arial" w:cs="Arial" w:eastAsia="Arial" w:hAnsi="Arial"/>
          <w:sz w:val="15"/>
          <w:szCs w:val="15"/>
          <w:color w:val="auto"/>
        </w:rPr>
        <w:t>The Company uses interest rate swap agreements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Derivative Instruments and Hedging Activities</w:t>
      </w:r>
    </w:p>
    <w:p>
      <w:pPr>
        <w:spacing w:after="0" w:line="105" w:lineRule="exact"/>
        <w:rPr>
          <w:sz w:val="20"/>
          <w:szCs w:val="20"/>
          <w:color w:val="auto"/>
        </w:rPr>
      </w:pPr>
    </w:p>
    <w:p>
      <w:pPr>
        <w:ind w:right="100" w:firstLine="391"/>
        <w:spacing w:after="0" w:line="248" w:lineRule="auto"/>
        <w:rPr>
          <w:sz w:val="20"/>
          <w:szCs w:val="20"/>
          <w:color w:val="auto"/>
        </w:rPr>
      </w:pPr>
      <w:r>
        <w:rPr>
          <w:rFonts w:ascii="Arial" w:cs="Arial" w:eastAsia="Arial" w:hAnsi="Arial"/>
          <w:sz w:val="16"/>
          <w:szCs w:val="16"/>
          <w:color w:val="auto"/>
        </w:rPr>
        <w:t>Derivative instruments and hedging activities require management to make judgments on the nature of its derivatives and their effectiveness as hedges. These judgments determine if the changes in fair value of the derivative instruments are reported in the Consolidated Statements of Operations as a component of net income or as a component of comprehensive income and as a component of equity on the Consolidated Balance Sheets. While management believes its judgments are reasonable, a change in a derivative’s effectiveness as a hedge could materially affect expenses, net income and equity. The Company accounts for both the effective and ineffective portions of changes in the fair value of a derivative in other comprehensive income (loss) and subsequently reclassifies the fair value of the derivative to earnings over the term that the hedged transaction affects earnings and in the same line item as the hedged transaction within the statements of operations.</w:t>
      </w:r>
    </w:p>
    <w:p>
      <w:pPr>
        <w:spacing w:after="0" w:line="139" w:lineRule="exact"/>
        <w:rPr>
          <w:sz w:val="20"/>
          <w:szCs w:val="20"/>
          <w:color w:val="auto"/>
        </w:rPr>
      </w:pPr>
    </w:p>
    <w:p>
      <w:pPr>
        <w:jc w:val="both"/>
        <w:ind w:right="420" w:firstLine="391"/>
        <w:spacing w:after="0" w:line="275" w:lineRule="auto"/>
        <w:rPr>
          <w:sz w:val="20"/>
          <w:szCs w:val="20"/>
          <w:color w:val="auto"/>
        </w:rPr>
      </w:pPr>
      <w:r>
        <w:rPr>
          <w:rFonts w:ascii="Arial" w:cs="Arial" w:eastAsia="Arial" w:hAnsi="Arial"/>
          <w:sz w:val="15"/>
          <w:szCs w:val="15"/>
          <w:color w:val="auto"/>
        </w:rPr>
        <w:t>During the year ended December 31, 2020, the Company elected to apply hedge accounting expedients related to probability and the assessments of effectiveness for future LIBOR-indexed cash flows to assume that the index upon which future hedged transactions will be based matches the index on the corresponding derivatives. The Company’s application of this expedient preserves the presentation of derivatives consistent with past presentation.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Stock-Based Employee Compensation Plans</w:t>
      </w:r>
    </w:p>
    <w:p>
      <w:pPr>
        <w:spacing w:after="0" w:line="105"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At December 31, 2022, the Company had a stock-based employee compensation plan. The Company accounts for the plan under the guidance in ASC 718 “Compensation – Stock Compensation” (“ASC 718”), which revised the fair value based method of accounting for share-based payment liabilities, forfeitures and modifications of stock-based awards and clarified previous guidance in several areas, including measuring fair value, classifying an award as equity or as a liability and attributing compensation cost to reporting periods.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Use of Estimates in the Preparation of Financial Statements</w:t>
      </w:r>
    </w:p>
    <w:p>
      <w:pPr>
        <w:spacing w:after="0" w:line="93" w:lineRule="exact"/>
        <w:rPr>
          <w:sz w:val="20"/>
          <w:szCs w:val="20"/>
          <w:color w:val="auto"/>
        </w:rPr>
      </w:pPr>
    </w:p>
    <w:p>
      <w:pPr>
        <w:ind w:right="240" w:firstLine="391"/>
        <w:spacing w:after="0" w:line="24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These estimates include such items as depreciation and allowances for doubtful accounts. Actual results could differ from those estimates.</w:t>
      </w:r>
    </w:p>
    <w:p>
      <w:pPr>
        <w:spacing w:after="0" w:line="137"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The Company bases its estimates on historical experience and on various other assumptions that it considers to be reasonable under the circumstances, including the impact of extraordinary events such as COVID-19,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Equity Offering Costs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Underwriting commissions and offering costs have been reflected as a reduction of additional paid-in capital.</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Treasury Stock</w:t>
      </w:r>
    </w:p>
    <w:p>
      <w:pPr>
        <w:spacing w:after="0" w:line="105" w:lineRule="exact"/>
        <w:rPr>
          <w:sz w:val="20"/>
          <w:szCs w:val="20"/>
          <w:color w:val="auto"/>
        </w:rPr>
      </w:pPr>
    </w:p>
    <w:p>
      <w:pPr>
        <w:ind w:right="740" w:firstLine="391"/>
        <w:spacing w:after="0" w:line="253" w:lineRule="auto"/>
        <w:rPr>
          <w:sz w:val="20"/>
          <w:szCs w:val="20"/>
          <w:color w:val="auto"/>
        </w:rPr>
      </w:pPr>
      <w:r>
        <w:rPr>
          <w:rFonts w:ascii="Arial" w:cs="Arial" w:eastAsia="Arial" w:hAnsi="Arial"/>
          <w:sz w:val="16"/>
          <w:szCs w:val="16"/>
          <w:color w:val="auto"/>
        </w:rPr>
        <w:t>BXP’s share repurchases are reflected as treasury stock utilizing the cost method of accounting and are presented as a reduction to consolidated stockholders’ equity.</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Dividends</w:t>
      </w:r>
    </w:p>
    <w:p>
      <w:pPr>
        <w:spacing w:after="0" w:line="105"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Earnings and profits, which determine the taxability of dividends to stockholders, will differ from income reported for financial reporting purposes due to the differences for federal income tax purposes in the treatment of gains/losses on the sale of real property, revenue and expense recognition, compensation expense, and in the estimated useful lives and basis used to compute depreciation.</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treatment of common dividends per share for federal income tax purposes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3"/>
                <w:szCs w:val="13"/>
                <w:b w:val="1"/>
                <w:bCs w:val="1"/>
                <w:color w:val="auto"/>
                <w:w w:val="97"/>
              </w:rPr>
              <w:t>For the year ended December 31,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0"/>
        </w:trPr>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2020</w:t>
            </w:r>
          </w:p>
        </w:tc>
        <w:tc>
          <w:tcPr>
            <w:tcW w:w="1020" w:type="dxa"/>
            <w:vAlign w:val="bottom"/>
            <w:tcBorders>
              <w:bottom w:val="single" w:sz="8" w:color="auto"/>
            </w:tcBorders>
          </w:tcPr>
          <w:p>
            <w:pPr>
              <w:spacing w:after="0"/>
              <w:rPr>
                <w:sz w:val="14"/>
                <w:szCs w:val="14"/>
                <w:color w:val="auto"/>
              </w:rPr>
            </w:pPr>
          </w:p>
        </w:tc>
      </w:tr>
      <w:tr>
        <w:trPr>
          <w:trHeight w:val="170"/>
        </w:trPr>
        <w:tc>
          <w:tcPr>
            <w:tcW w:w="2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Per Share</w:t>
            </w:r>
          </w:p>
        </w:tc>
        <w:tc>
          <w:tcPr>
            <w:tcW w:w="4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Per Share</w:t>
            </w:r>
          </w:p>
        </w:tc>
        <w:tc>
          <w:tcPr>
            <w:tcW w:w="4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Per Share</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w:t>
            </w:r>
          </w:p>
        </w:tc>
      </w:tr>
      <w:tr>
        <w:trPr>
          <w:trHeight w:val="198"/>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income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86.60 %</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73.86 %</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64.91 %</w:t>
            </w:r>
          </w:p>
        </w:tc>
      </w:tr>
      <w:tr>
        <w:trPr>
          <w:trHeight w:val="201"/>
        </w:trPr>
        <w:tc>
          <w:tcPr>
            <w:tcW w:w="2020" w:type="dxa"/>
            <w:vAlign w:val="bottom"/>
          </w:tcPr>
          <w:p>
            <w:pPr>
              <w:ind w:left="20"/>
              <w:spacing w:after="0"/>
              <w:rPr>
                <w:sz w:val="20"/>
                <w:szCs w:val="20"/>
                <w:color w:val="auto"/>
              </w:rPr>
            </w:pPr>
            <w:r>
              <w:rPr>
                <w:rFonts w:ascii="Arial" w:cs="Arial" w:eastAsia="Arial" w:hAnsi="Arial"/>
                <w:sz w:val="16"/>
                <w:szCs w:val="16"/>
                <w:color w:val="auto"/>
              </w:rPr>
              <w:t>Capital gain income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0.53</w:t>
            </w:r>
          </w:p>
        </w:tc>
        <w:tc>
          <w:tcPr>
            <w:tcW w:w="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13.40 %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0.57</w:t>
            </w:r>
          </w:p>
        </w:tc>
        <w:tc>
          <w:tcPr>
            <w:tcW w:w="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14.57 %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0.99</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25.49 %</w:t>
            </w: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of capital</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11.57 %</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9.60 %</w:t>
            </w:r>
          </w:p>
        </w:tc>
      </w:tr>
      <w:tr>
        <w:trPr>
          <w:trHeight w:val="193"/>
        </w:trPr>
        <w:tc>
          <w:tcPr>
            <w:tcW w:w="2020" w:type="dxa"/>
            <w:vAlign w:val="bottom"/>
          </w:tcPr>
          <w:p>
            <w:pPr>
              <w:ind w:left="20"/>
              <w:spacing w:after="0" w:line="180" w:lineRule="exact"/>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440" w:type="dxa"/>
            <w:vAlign w:val="bottom"/>
          </w:tcPr>
          <w:p>
            <w:pPr>
              <w:jc w:val="right"/>
              <w:ind w:right="149"/>
              <w:spacing w:after="0"/>
              <w:rPr>
                <w:sz w:val="20"/>
                <w:szCs w:val="20"/>
                <w:color w:val="auto"/>
              </w:rPr>
            </w:pPr>
            <w:r>
              <w:rPr>
                <w:rFonts w:ascii="Arial" w:cs="Arial" w:eastAsia="Arial" w:hAnsi="Arial"/>
                <w:sz w:val="16"/>
                <w:szCs w:val="16"/>
                <w:color w:val="auto"/>
              </w:rPr>
              <w:t>(1)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2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440" w:type="dxa"/>
            <w:vAlign w:val="bottom"/>
          </w:tcPr>
          <w:p>
            <w:pPr>
              <w:jc w:val="right"/>
              <w:ind w:right="149"/>
              <w:spacing w:after="0"/>
              <w:rPr>
                <w:sz w:val="20"/>
                <w:szCs w:val="20"/>
                <w:color w:val="auto"/>
              </w:rPr>
            </w:pPr>
            <w:r>
              <w:rPr>
                <w:rFonts w:ascii="Arial" w:cs="Arial" w:eastAsia="Arial" w:hAnsi="Arial"/>
                <w:sz w:val="16"/>
                <w:szCs w:val="16"/>
                <w:color w:val="auto"/>
              </w:rPr>
              <w:t>(2)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2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440" w:type="dxa"/>
            <w:vAlign w:val="bottom"/>
          </w:tcPr>
          <w:p>
            <w:pPr>
              <w:jc w:val="right"/>
              <w:ind w:right="149"/>
              <w:spacing w:after="0"/>
              <w:rPr>
                <w:sz w:val="20"/>
                <w:szCs w:val="20"/>
                <w:color w:val="auto"/>
              </w:rPr>
            </w:pPr>
            <w:r>
              <w:rPr>
                <w:rFonts w:ascii="Arial" w:cs="Arial" w:eastAsia="Arial" w:hAnsi="Arial"/>
                <w:sz w:val="16"/>
                <w:szCs w:val="16"/>
                <w:color w:val="auto"/>
              </w:rPr>
              <w:t>(3)</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w:t>
      </w:r>
    </w:p>
    <w:p>
      <w:pPr>
        <w:spacing w:after="0" w:line="8" w:lineRule="exact"/>
        <w:rPr>
          <w:sz w:val="20"/>
          <w:szCs w:val="20"/>
          <w:color w:val="auto"/>
        </w:rPr>
      </w:pPr>
    </w:p>
    <w:p>
      <w:pPr>
        <w:ind w:left="420" w:right="40" w:hanging="283"/>
        <w:spacing w:after="0" w:line="256" w:lineRule="auto"/>
        <w:tabs>
          <w:tab w:leader="none" w:pos="41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fourth quarter 2022 regular quarterly dividend was $0.98 per common share, of which approximately $0.03 per common share was allocable to 2022 and approximately $0.95 per common share was allocable to 2023.</w:t>
      </w:r>
    </w:p>
    <w:p>
      <w:pPr>
        <w:ind w:left="420" w:hanging="283"/>
        <w:spacing w:after="0"/>
        <w:tabs>
          <w:tab w:leader="none" w:pos="4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fourth quarter 2021 regular quarterly dividend was $0.98 per common share, all of which was allocable to 2022.</w:t>
      </w:r>
    </w:p>
    <w:p>
      <w:pPr>
        <w:spacing w:after="0" w:line="4" w:lineRule="exact"/>
        <w:rPr>
          <w:rFonts w:ascii="Arial" w:cs="Arial" w:eastAsia="Arial" w:hAnsi="Arial"/>
          <w:sz w:val="14"/>
          <w:szCs w:val="14"/>
          <w:color w:val="auto"/>
        </w:rPr>
      </w:pPr>
    </w:p>
    <w:p>
      <w:pPr>
        <w:ind w:left="420" w:hanging="283"/>
        <w:spacing w:after="0"/>
        <w:tabs>
          <w:tab w:leader="none" w:pos="4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fourth quarter 2020 regular quarterly dividend was $0.98 per common share, all of which was allocable to 2021.</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Income Taxes</w:t>
      </w:r>
    </w:p>
    <w:p>
      <w:pPr>
        <w:spacing w:after="0" w:line="105"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BXP has elected to be treated as a REIT under Sections 856 through 860 of the Code, commencing with its taxable year ended December 31, 1997. As a result, it generally will not be subject to federal corporate income tax on its taxable income that is distributed to its stockholders. A REIT is subject to a number of organizational and operational requirements, including a requirement that it currently distribute at least 90% of its annual taxable income (with certain adjustments). BXP’s policy is to distribute at least 100% of its taxable income. Accordingly, the only provision for federal income taxes in the accompanying consolidated financial statements relates to BXP’s consolidated taxable REIT subsidiaries. BXP’s taxable REIT subsidiaries did not have significant tax provisions or deferred income tax items. BXP has no uncertain tax positions recognized as of December 31, 2022 and 2021. At December 31, 2022, BXP’s tax returns for the years 2019 forward remain subject to examination by the major tax jurisdictions under the statute of limitations.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Company owns a hotel property that it leases to one of its taxable REIT subsidiaries and that is managed by Marriott International, Inc. The hotel taxable REIT subsidiary, a wholly owned subsidiary of BPLP, is the lessee pursuant to the lease for the hotel property. As lessor, BPLP is entitled to a percentage of gross receipts from the hotel property. Marriott International, Inc. continues to manage the hotel property under the Marriott name and under terms of a management agreement. The hotel taxable REIT subsidiary is subject to tax at the federal and state level and, accordingly, if applicable, BXP has recorded a tax provision in its Consolidated Statements of Operations for the years ended December 31, 2022, 2021 and 2020.</w:t>
      </w:r>
    </w:p>
    <w:p>
      <w:pPr>
        <w:spacing w:after="0" w:line="140" w:lineRule="exact"/>
        <w:rPr>
          <w:sz w:val="20"/>
          <w:szCs w:val="20"/>
          <w:color w:val="auto"/>
        </w:rPr>
      </w:pPr>
    </w:p>
    <w:p>
      <w:pPr>
        <w:ind w:right="340" w:firstLine="391"/>
        <w:spacing w:after="0" w:line="253" w:lineRule="auto"/>
        <w:rPr>
          <w:sz w:val="20"/>
          <w:szCs w:val="20"/>
          <w:color w:val="auto"/>
        </w:rPr>
      </w:pPr>
      <w:r>
        <w:rPr>
          <w:rFonts w:ascii="Arial" w:cs="Arial" w:eastAsia="Arial" w:hAnsi="Arial"/>
          <w:sz w:val="16"/>
          <w:szCs w:val="16"/>
          <w:color w:val="auto"/>
        </w:rPr>
        <w:t>Certain entities included in BXP’s consolidated financial statements are subject to certain state and local taxes. These taxes are recorded as operating expenses in the accompanying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Income Taxes</w:t>
      </w:r>
    </w:p>
    <w:p>
      <w:pPr>
        <w:spacing w:after="0" w:line="105" w:lineRule="exact"/>
        <w:rPr>
          <w:sz w:val="20"/>
          <w:szCs w:val="20"/>
          <w:color w:val="auto"/>
        </w:rPr>
      </w:pPr>
    </w:p>
    <w:p>
      <w:pPr>
        <w:ind w:right="180" w:firstLine="391"/>
        <w:spacing w:after="0" w:line="248" w:lineRule="auto"/>
        <w:rPr>
          <w:sz w:val="20"/>
          <w:szCs w:val="20"/>
          <w:color w:val="auto"/>
        </w:rPr>
      </w:pPr>
      <w:r>
        <w:rPr>
          <w:rFonts w:ascii="Arial" w:cs="Arial" w:eastAsia="Arial" w:hAnsi="Arial"/>
          <w:sz w:val="16"/>
          <w:szCs w:val="16"/>
          <w:color w:val="auto"/>
        </w:rPr>
        <w:t>The partners are required to report their respective share of BPLP’s taxable income or loss on their respective tax returns and are liable for any related taxes thereon. Accordingly, the only provision for federal income taxes in the accompanying consolidated financial statements relates to BPLP’s consolidated taxable REIT subsidiaries. BPLP’s taxable REIT subsidiaries did not have significant tax provisions or deferred income tax items. BPLP has no uncertain tax positions recognized as of December 31, 2022 and 2021. At December 31, 2022, BPLP’s tax returns for the years 2019 forward remain subject to examination by the major tax jurisdictions under the statute of limitations.</w:t>
      </w:r>
    </w:p>
    <w:p>
      <w:pPr>
        <w:spacing w:after="0" w:line="140"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The Company owns a hotel property which is managed through a taxable REIT subsidiary. The hotel taxable REIT subsidiary, a wholly owned subsidiary of BPLP, is the lessee pursuant to the lease for the hotel property. As lessor, BPLP is entitled to a percentage of gross receipts from the hotel property. Marriott International, Inc. continues to manage the hotel property under the Marriott name and under terms of a management agreement. The hotel taxable REIT subsidiary is subject to tax at the federal and state level and, accordingly, BPLP has, if applicable, recorded a tax provision in its Consolidated Statements of Operations for the years ended December 31, 2022, 2021 and 2020.</w:t>
      </w:r>
    </w:p>
    <w:p>
      <w:pPr>
        <w:spacing w:after="0" w:line="140" w:lineRule="exact"/>
        <w:rPr>
          <w:sz w:val="20"/>
          <w:szCs w:val="20"/>
          <w:color w:val="auto"/>
        </w:rPr>
      </w:pPr>
    </w:p>
    <w:p>
      <w:pPr>
        <w:ind w:right="260" w:firstLine="391"/>
        <w:spacing w:after="0" w:line="253" w:lineRule="auto"/>
        <w:rPr>
          <w:sz w:val="20"/>
          <w:szCs w:val="20"/>
          <w:color w:val="auto"/>
        </w:rPr>
      </w:pPr>
      <w:r>
        <w:rPr>
          <w:rFonts w:ascii="Arial" w:cs="Arial" w:eastAsia="Arial" w:hAnsi="Arial"/>
          <w:sz w:val="16"/>
          <w:szCs w:val="16"/>
          <w:color w:val="auto"/>
        </w:rPr>
        <w:t>Certain entities included in BPLP’s consolidated financial statements are subject to certain state and local taxes. These taxes are recorded as operating expenses in the accompanying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Real Estate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consisted of the following at December 31, 2022 and December 31, 2021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760" w:type="dxa"/>
            <w:vAlign w:val="bottom"/>
          </w:tcPr>
          <w:p>
            <w:pPr>
              <w:jc w:val="right"/>
              <w:ind w:right="282"/>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Land</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5,189,811</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5,061,169</w:t>
            </w:r>
          </w:p>
        </w:tc>
      </w:tr>
      <w:tr>
        <w:trPr>
          <w:trHeight w:val="201"/>
        </w:trPr>
        <w:tc>
          <w:tcPr>
            <w:tcW w:w="6960" w:type="dxa"/>
            <w:vAlign w:val="bottom"/>
          </w:tcPr>
          <w:p>
            <w:pPr>
              <w:ind w:left="20"/>
              <w:spacing w:after="0"/>
              <w:rPr>
                <w:sz w:val="20"/>
                <w:szCs w:val="20"/>
                <w:color w:val="auto"/>
              </w:rPr>
            </w:pPr>
            <w:r>
              <w:rPr>
                <w:rFonts w:ascii="Arial" w:cs="Arial" w:eastAsia="Arial" w:hAnsi="Arial"/>
                <w:sz w:val="16"/>
                <w:szCs w:val="16"/>
                <w:color w:val="auto"/>
              </w:rPr>
              <w:t>Right of use assets - finance leases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237,510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237,507</w:t>
            </w:r>
          </w:p>
        </w:tc>
      </w:tr>
      <w:tr>
        <w:trPr>
          <w:trHeight w:val="20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 operating leases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167,351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169,778</w:t>
            </w:r>
          </w:p>
        </w:tc>
      </w:tr>
      <w:tr>
        <w:trPr>
          <w:trHeight w:val="201"/>
        </w:trPr>
        <w:tc>
          <w:tcPr>
            <w:tcW w:w="6960" w:type="dxa"/>
            <w:vAlign w:val="bottom"/>
          </w:tcPr>
          <w:p>
            <w:pPr>
              <w:ind w:left="20"/>
              <w:spacing w:after="0"/>
              <w:rPr>
                <w:sz w:val="20"/>
                <w:szCs w:val="20"/>
                <w:color w:val="auto"/>
              </w:rPr>
            </w:pPr>
            <w:r>
              <w:rPr>
                <w:rFonts w:ascii="Arial" w:cs="Arial" w:eastAsia="Arial" w:hAnsi="Arial"/>
                <w:sz w:val="16"/>
                <w:szCs w:val="16"/>
                <w:color w:val="auto"/>
              </w:rPr>
              <w:t>Land held for future development (1)</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721,501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560,355</w:t>
            </w:r>
          </w:p>
        </w:tc>
      </w:tr>
      <w:tr>
        <w:trPr>
          <w:trHeight w:val="20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15,820,724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14,291,214</w:t>
            </w:r>
          </w:p>
        </w:tc>
      </w:tr>
      <w:tr>
        <w:trPr>
          <w:trHeight w:val="201"/>
        </w:trPr>
        <w:tc>
          <w:tcPr>
            <w:tcW w:w="696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3,200,743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2,894,025</w:t>
            </w:r>
          </w:p>
        </w:tc>
      </w:tr>
      <w:tr>
        <w:trPr>
          <w:trHeight w:val="20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equipment</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51,695</w:t>
            </w:r>
          </w:p>
        </w:tc>
      </w:tr>
      <w:tr>
        <w:trPr>
          <w:trHeight w:val="201"/>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406,574</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894,172</w:t>
            </w:r>
          </w:p>
        </w:tc>
      </w:tr>
      <w:tr>
        <w:trPr>
          <w:trHeight w:val="194"/>
        </w:trPr>
        <w:tc>
          <w:tcPr>
            <w:tcW w:w="6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25,794,524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24,159,915</w:t>
            </w:r>
          </w:p>
        </w:tc>
      </w:tr>
      <w:tr>
        <w:trPr>
          <w:trHeight w:val="201"/>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(6,298,082)</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(5,883,961)</w:t>
            </w:r>
          </w:p>
        </w:tc>
      </w:tr>
      <w:tr>
        <w:trPr>
          <w:trHeight w:val="218"/>
        </w:trPr>
        <w:tc>
          <w:tcPr>
            <w:tcW w:w="6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19,496,442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18,275,954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Includes pre-development costs.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consisted of the following at December 31, 2022 and December 31, 2021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760" w:type="dxa"/>
            <w:vAlign w:val="bottom"/>
          </w:tcPr>
          <w:p>
            <w:pPr>
              <w:jc w:val="right"/>
              <w:ind w:right="282"/>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9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Land</w:t>
            </w: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5,095,102</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4,964,986</w:t>
            </w:r>
          </w:p>
        </w:tc>
      </w:tr>
      <w:tr>
        <w:trPr>
          <w:trHeight w:val="201"/>
        </w:trPr>
        <w:tc>
          <w:tcPr>
            <w:tcW w:w="6980" w:type="dxa"/>
            <w:vAlign w:val="bottom"/>
          </w:tcPr>
          <w:p>
            <w:pPr>
              <w:ind w:left="20"/>
              <w:spacing w:after="0"/>
              <w:rPr>
                <w:sz w:val="20"/>
                <w:szCs w:val="20"/>
                <w:color w:val="auto"/>
              </w:rPr>
            </w:pPr>
            <w:r>
              <w:rPr>
                <w:rFonts w:ascii="Arial" w:cs="Arial" w:eastAsia="Arial" w:hAnsi="Arial"/>
                <w:sz w:val="16"/>
                <w:szCs w:val="16"/>
                <w:color w:val="auto"/>
              </w:rPr>
              <w:t>Right of use assets - finance leases</w:t>
            </w: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237,510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237,507</w:t>
            </w:r>
          </w:p>
        </w:tc>
      </w:tr>
      <w:tr>
        <w:trPr>
          <w:trHeight w:val="20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 operating leases</w:t>
            </w: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167,351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169,778</w:t>
            </w:r>
          </w:p>
        </w:tc>
      </w:tr>
      <w:tr>
        <w:trPr>
          <w:trHeight w:val="201"/>
        </w:trPr>
        <w:tc>
          <w:tcPr>
            <w:tcW w:w="6980" w:type="dxa"/>
            <w:vAlign w:val="bottom"/>
          </w:tcPr>
          <w:p>
            <w:pPr>
              <w:ind w:left="20"/>
              <w:spacing w:after="0"/>
              <w:rPr>
                <w:sz w:val="20"/>
                <w:szCs w:val="20"/>
                <w:color w:val="auto"/>
              </w:rPr>
            </w:pPr>
            <w:r>
              <w:rPr>
                <w:rFonts w:ascii="Arial" w:cs="Arial" w:eastAsia="Arial" w:hAnsi="Arial"/>
                <w:sz w:val="16"/>
                <w:szCs w:val="16"/>
                <w:color w:val="auto"/>
              </w:rPr>
              <w:t>Land held for future development (1)</w:t>
            </w: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721,501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560,355</w:t>
            </w:r>
          </w:p>
        </w:tc>
      </w:tr>
      <w:tr>
        <w:trPr>
          <w:trHeight w:val="20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15,547,919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14,014,010</w:t>
            </w:r>
          </w:p>
        </w:tc>
      </w:tr>
      <w:tr>
        <w:trPr>
          <w:trHeight w:val="201"/>
        </w:trPr>
        <w:tc>
          <w:tcPr>
            <w:tcW w:w="698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3,200,743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2,894,025</w:t>
            </w:r>
          </w:p>
        </w:tc>
      </w:tr>
      <w:tr>
        <w:trPr>
          <w:trHeight w:val="20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equipment</w:t>
            </w: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51,695</w:t>
            </w:r>
          </w:p>
        </w:tc>
      </w:tr>
      <w:tr>
        <w:trPr>
          <w:trHeight w:val="201"/>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406,574</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894,172</w:t>
            </w:r>
          </w:p>
        </w:tc>
      </w:tr>
      <w:tr>
        <w:trPr>
          <w:trHeight w:val="194"/>
        </w:trPr>
        <w:tc>
          <w:tcPr>
            <w:tcW w:w="6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25,427,010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23,786,528</w:t>
            </w:r>
          </w:p>
        </w:tc>
      </w:tr>
      <w:tr>
        <w:trPr>
          <w:trHeight w:val="201"/>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(6,180,474)</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(5,772,018)</w:t>
            </w:r>
          </w:p>
        </w:tc>
      </w:tr>
      <w:tr>
        <w:trPr>
          <w:trHeight w:val="218"/>
        </w:trPr>
        <w:tc>
          <w:tcPr>
            <w:tcW w:w="6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19,246,536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18,014,510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Includes pre-development costs.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Acquisitions</w:t>
      </w:r>
    </w:p>
    <w:p>
      <w:pPr>
        <w:spacing w:after="0" w:line="95" w:lineRule="exact"/>
        <w:rPr>
          <w:sz w:val="20"/>
          <w:szCs w:val="20"/>
          <w:color w:val="auto"/>
        </w:rPr>
      </w:pPr>
    </w:p>
    <w:p>
      <w:pPr>
        <w:ind w:right="160" w:firstLine="391"/>
        <w:spacing w:after="0" w:line="249" w:lineRule="auto"/>
        <w:rPr>
          <w:sz w:val="20"/>
          <w:szCs w:val="20"/>
          <w:color w:val="auto"/>
        </w:rPr>
      </w:pPr>
      <w:r>
        <w:rPr>
          <w:rFonts w:ascii="Arial" w:cs="Arial" w:eastAsia="Arial" w:hAnsi="Arial"/>
          <w:sz w:val="16"/>
          <w:szCs w:val="16"/>
          <w:color w:val="auto"/>
        </w:rPr>
        <w:t>On May 17, 2022, the Company completed the acquisition of Madison Centre in Seattle, Washington for a net purchase price, including transaction costs, of approximately $724.3 million. The acquisition was completed using the proceeds from BPLP’s $730.0 million unsecured term loan (See Note 7). Madison Centre is an approximately 755,000 net rentable square foot, 37-story, LEED-Platinum certified, premier workplace. The following table summarizes the allocation of the purchase price, including transaction costs, of Madison Centre at the date of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104,641</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Building and improvements</w:t>
            </w:r>
          </w:p>
        </w:tc>
        <w:tc>
          <w:tcPr>
            <w:tcW w:w="8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505,766</w:t>
            </w:r>
          </w:p>
        </w:tc>
      </w:tr>
      <w:tr>
        <w:trPr>
          <w:trHeight w:val="20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58,570</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In-place lease intangibles</w:t>
            </w:r>
          </w:p>
        </w:tc>
        <w:tc>
          <w:tcPr>
            <w:tcW w:w="8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74,598</w:t>
            </w:r>
          </w:p>
        </w:tc>
      </w:tr>
      <w:tr>
        <w:trPr>
          <w:trHeight w:val="20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 intangibles</w:t>
            </w: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3,794</w:t>
            </w:r>
          </w:p>
        </w:tc>
      </w:tr>
      <w:tr>
        <w:trPr>
          <w:trHeight w:val="201"/>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Below-market lease intangibles</w:t>
            </w:r>
          </w:p>
        </w:tc>
        <w:tc>
          <w:tcPr>
            <w:tcW w:w="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(23,114)</w:t>
            </w:r>
          </w:p>
        </w:tc>
      </w:tr>
      <w:tr>
        <w:trPr>
          <w:trHeight w:val="219"/>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724,255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440" w:firstLine="391"/>
        <w:spacing w:after="0" w:line="249" w:lineRule="auto"/>
        <w:rPr>
          <w:sz w:val="20"/>
          <w:szCs w:val="20"/>
          <w:color w:val="auto"/>
        </w:rPr>
      </w:pPr>
      <w:r>
        <w:rPr>
          <w:rFonts w:ascii="Arial" w:cs="Arial" w:eastAsia="Arial" w:hAnsi="Arial"/>
          <w:sz w:val="16"/>
          <w:szCs w:val="16"/>
          <w:color w:val="auto"/>
        </w:rPr>
        <w:t>On September 16, 2022, the Company acquired 125 Broadway in Cambridge, Massachusetts for a net purchase price, including transaction costs, of approximately $592.4 million. The acquisition was completed with available cash and borrowings under BPLP’s unsecured credit facility. 125 Broadway is a 271,000 net rentable square foot, six-story, laboratory/life sciences property. The following table summarizes the allocation of the purchase price, including transaction costs, of 125 Broadway at the date of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126,364</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Building and improvements</w:t>
            </w:r>
          </w:p>
        </w:tc>
        <w:tc>
          <w:tcPr>
            <w:tcW w:w="8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403,588</w:t>
            </w:r>
          </w:p>
        </w:tc>
      </w:tr>
      <w:tr>
        <w:trPr>
          <w:trHeight w:val="20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30,074</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In-place lease intangibles</w:t>
            </w:r>
          </w:p>
        </w:tc>
        <w:tc>
          <w:tcPr>
            <w:tcW w:w="8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49,137</w:t>
            </w:r>
          </w:p>
        </w:tc>
      </w:tr>
      <w:tr>
        <w:trPr>
          <w:trHeight w:val="201"/>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Below-market lease intangibles</w:t>
            </w:r>
          </w:p>
        </w:tc>
        <w:tc>
          <w:tcPr>
            <w:tcW w:w="8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(16,725)</w:t>
            </w:r>
          </w:p>
        </w:tc>
      </w:tr>
      <w:tr>
        <w:trPr>
          <w:trHeight w:val="194"/>
        </w:trPr>
        <w:tc>
          <w:tcPr>
            <w:tcW w:w="902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592,438</w:t>
            </w:r>
          </w:p>
        </w:tc>
      </w:tr>
      <w:tr>
        <w:trPr>
          <w:trHeight w:val="20"/>
        </w:trPr>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300" w:firstLine="391"/>
        <w:spacing w:after="0" w:line="253" w:lineRule="auto"/>
        <w:rPr>
          <w:sz w:val="20"/>
          <w:szCs w:val="20"/>
          <w:color w:val="auto"/>
        </w:rPr>
      </w:pPr>
      <w:r>
        <w:rPr>
          <w:rFonts w:ascii="Arial" w:cs="Arial" w:eastAsia="Arial" w:hAnsi="Arial"/>
          <w:sz w:val="16"/>
          <w:szCs w:val="16"/>
          <w:color w:val="auto"/>
        </w:rPr>
        <w:t>The following table summarizes the estimated annual amortization of the acquired in-place lease intangibles and the acquired above- and below-market lease intangibles for Madison Centre and 125 Broadway as of their acquisition dates for each of the five succeeding fiscal years (in thousands):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31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821"/>
        </w:trPr>
        <w:tc>
          <w:tcPr>
            <w:tcW w:w="122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Acquired In-Place Lease</w:t>
            </w:r>
          </w:p>
        </w:tc>
        <w:tc>
          <w:tcPr>
            <w:tcW w:w="2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Acquired Above-Market Lease</w:t>
            </w:r>
          </w:p>
        </w:tc>
        <w:tc>
          <w:tcPr>
            <w:tcW w:w="2620" w:type="dxa"/>
            <w:vAlign w:val="bottom"/>
          </w:tcPr>
          <w:p>
            <w:pPr>
              <w:jc w:val="right"/>
              <w:ind w:right="121"/>
              <w:spacing w:after="0"/>
              <w:rPr>
                <w:sz w:val="20"/>
                <w:szCs w:val="20"/>
                <w:color w:val="auto"/>
              </w:rPr>
            </w:pPr>
            <w:r>
              <w:rPr>
                <w:rFonts w:ascii="Arial" w:cs="Arial" w:eastAsia="Arial" w:hAnsi="Arial"/>
                <w:sz w:val="16"/>
                <w:szCs w:val="16"/>
                <w:b w:val="1"/>
                <w:bCs w:val="1"/>
                <w:color w:val="auto"/>
              </w:rPr>
              <w:t>Acquired Below-Market Lease</w:t>
            </w:r>
          </w:p>
        </w:tc>
      </w:tr>
      <w:tr>
        <w:trPr>
          <w:trHeight w:val="211"/>
        </w:trPr>
        <w:tc>
          <w:tcPr>
            <w:tcW w:w="1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Intangibles</w:t>
            </w:r>
          </w:p>
        </w:tc>
        <w:tc>
          <w:tcPr>
            <w:tcW w:w="2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Intangibles</w:t>
            </w:r>
          </w:p>
        </w:tc>
        <w:tc>
          <w:tcPr>
            <w:tcW w:w="2620" w:type="dxa"/>
            <w:vAlign w:val="bottom"/>
          </w:tcPr>
          <w:p>
            <w:pPr>
              <w:jc w:val="right"/>
              <w:ind w:right="861"/>
              <w:spacing w:after="0"/>
              <w:rPr>
                <w:sz w:val="20"/>
                <w:szCs w:val="20"/>
                <w:color w:val="auto"/>
              </w:rPr>
            </w:pPr>
            <w:r>
              <w:rPr>
                <w:rFonts w:ascii="Arial" w:cs="Arial" w:eastAsia="Arial" w:hAnsi="Arial"/>
                <w:sz w:val="16"/>
                <w:szCs w:val="16"/>
                <w:b w:val="1"/>
                <w:bCs w:val="1"/>
                <w:color w:val="auto"/>
              </w:rPr>
              <w:t>Intangible</w:t>
            </w:r>
          </w:p>
        </w:tc>
      </w:tr>
      <w:tr>
        <w:trPr>
          <w:trHeight w:val="195"/>
        </w:trPr>
        <w:tc>
          <w:tcPr>
            <w:tcW w:w="1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9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20,940</w:t>
            </w:r>
          </w:p>
        </w:tc>
        <w:tc>
          <w:tcPr>
            <w:tcW w:w="1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4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6,417</w:t>
            </w:r>
          </w:p>
        </w:tc>
      </w:tr>
      <w:tr>
        <w:trPr>
          <w:trHeight w:val="201"/>
        </w:trPr>
        <w:tc>
          <w:tcPr>
            <w:tcW w:w="1220" w:type="dxa"/>
            <w:vAlign w:val="bottom"/>
          </w:tcPr>
          <w:p>
            <w:pPr>
              <w:ind w:left="20"/>
              <w:spacing w:after="0"/>
              <w:rPr>
                <w:sz w:val="20"/>
                <w:szCs w:val="20"/>
                <w:color w:val="auto"/>
              </w:rPr>
            </w:pPr>
            <w:r>
              <w:rPr>
                <w:rFonts w:ascii="Arial" w:cs="Arial" w:eastAsia="Arial" w:hAnsi="Arial"/>
                <w:sz w:val="16"/>
                <w:szCs w:val="16"/>
                <w:color w:val="auto"/>
              </w:rPr>
              <w:t>2024</w:t>
            </w:r>
          </w:p>
        </w:tc>
        <w:tc>
          <w:tcPr>
            <w:tcW w:w="19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19,582</w:t>
            </w:r>
          </w:p>
        </w:tc>
        <w:tc>
          <w:tcPr>
            <w:tcW w:w="1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17"/>
                <w:szCs w:val="17"/>
                <w:color w:val="auto"/>
              </w:rPr>
            </w:pPr>
          </w:p>
        </w:tc>
        <w:tc>
          <w:tcPr>
            <w:tcW w:w="2620" w:type="dxa"/>
            <w:vAlign w:val="bottom"/>
          </w:tcPr>
          <w:p>
            <w:pPr>
              <w:jc w:val="right"/>
              <w:ind w:right="1"/>
              <w:spacing w:after="0"/>
              <w:rPr>
                <w:sz w:val="20"/>
                <w:szCs w:val="20"/>
                <w:color w:val="auto"/>
              </w:rPr>
            </w:pPr>
            <w:r>
              <w:rPr>
                <w:rFonts w:ascii="Arial" w:cs="Arial" w:eastAsia="Arial" w:hAnsi="Arial"/>
                <w:sz w:val="16"/>
                <w:szCs w:val="16"/>
                <w:color w:val="auto"/>
              </w:rPr>
              <w:t>6,386</w:t>
            </w:r>
          </w:p>
        </w:tc>
      </w:tr>
      <w:tr>
        <w:trPr>
          <w:trHeight w:val="202"/>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940" w:type="dxa"/>
            <w:vAlign w:val="bottom"/>
            <w:shd w:val="clear" w:color="auto" w:fill="CCEEFF"/>
          </w:tcPr>
          <w:p>
            <w:pPr>
              <w:spacing w:after="0"/>
              <w:rPr>
                <w:sz w:val="17"/>
                <w:szCs w:val="17"/>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19,510</w:t>
            </w:r>
          </w:p>
        </w:tc>
        <w:tc>
          <w:tcPr>
            <w:tcW w:w="140" w:type="dxa"/>
            <w:vAlign w:val="bottom"/>
            <w:shd w:val="clear" w:color="auto" w:fill="CCEEFF"/>
          </w:tcPr>
          <w:p>
            <w:pPr>
              <w:spacing w:after="0"/>
              <w:rPr>
                <w:sz w:val="17"/>
                <w:szCs w:val="17"/>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6,373</w:t>
            </w:r>
          </w:p>
        </w:tc>
      </w:tr>
      <w:tr>
        <w:trPr>
          <w:trHeight w:val="201"/>
        </w:trPr>
        <w:tc>
          <w:tcPr>
            <w:tcW w:w="1220" w:type="dxa"/>
            <w:vAlign w:val="bottom"/>
          </w:tcPr>
          <w:p>
            <w:pPr>
              <w:ind w:left="20"/>
              <w:spacing w:after="0"/>
              <w:rPr>
                <w:sz w:val="20"/>
                <w:szCs w:val="20"/>
                <w:color w:val="auto"/>
              </w:rPr>
            </w:pPr>
            <w:r>
              <w:rPr>
                <w:rFonts w:ascii="Arial" w:cs="Arial" w:eastAsia="Arial" w:hAnsi="Arial"/>
                <w:sz w:val="16"/>
                <w:szCs w:val="16"/>
                <w:color w:val="auto"/>
              </w:rPr>
              <w:t>2026</w:t>
            </w:r>
          </w:p>
        </w:tc>
        <w:tc>
          <w:tcPr>
            <w:tcW w:w="19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19,046</w:t>
            </w:r>
          </w:p>
        </w:tc>
        <w:tc>
          <w:tcPr>
            <w:tcW w:w="1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17"/>
                <w:szCs w:val="17"/>
                <w:color w:val="auto"/>
              </w:rPr>
            </w:pPr>
          </w:p>
        </w:tc>
        <w:tc>
          <w:tcPr>
            <w:tcW w:w="2620" w:type="dxa"/>
            <w:vAlign w:val="bottom"/>
          </w:tcPr>
          <w:p>
            <w:pPr>
              <w:jc w:val="right"/>
              <w:ind w:right="1"/>
              <w:spacing w:after="0"/>
              <w:rPr>
                <w:sz w:val="20"/>
                <w:szCs w:val="20"/>
                <w:color w:val="auto"/>
              </w:rPr>
            </w:pPr>
            <w:r>
              <w:rPr>
                <w:rFonts w:ascii="Arial" w:cs="Arial" w:eastAsia="Arial" w:hAnsi="Arial"/>
                <w:sz w:val="16"/>
                <w:szCs w:val="16"/>
                <w:color w:val="auto"/>
              </w:rPr>
              <w:t>6,185</w:t>
            </w:r>
          </w:p>
        </w:tc>
      </w:tr>
      <w:tr>
        <w:trPr>
          <w:trHeight w:val="202"/>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940" w:type="dxa"/>
            <w:vAlign w:val="bottom"/>
            <w:shd w:val="clear" w:color="auto" w:fill="CCEEFF"/>
          </w:tcPr>
          <w:p>
            <w:pPr>
              <w:spacing w:after="0"/>
              <w:rPr>
                <w:sz w:val="17"/>
                <w:szCs w:val="17"/>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17,901</w:t>
            </w:r>
          </w:p>
        </w:tc>
        <w:tc>
          <w:tcPr>
            <w:tcW w:w="140" w:type="dxa"/>
            <w:vAlign w:val="bottom"/>
            <w:shd w:val="clear" w:color="auto" w:fill="CCEEFF"/>
          </w:tcPr>
          <w:p>
            <w:pPr>
              <w:spacing w:after="0"/>
              <w:rPr>
                <w:sz w:val="17"/>
                <w:szCs w:val="17"/>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5,780</w:t>
            </w:r>
          </w:p>
        </w:tc>
      </w:tr>
    </w:tbl>
    <w:p>
      <w:pPr>
        <w:spacing w:after="0" w:line="224" w:lineRule="exact"/>
        <w:rPr>
          <w:sz w:val="20"/>
          <w:szCs w:val="20"/>
          <w:color w:val="auto"/>
        </w:rPr>
      </w:pPr>
    </w:p>
    <w:p>
      <w:pPr>
        <w:ind w:right="440" w:firstLine="391"/>
        <w:spacing w:after="0" w:line="250" w:lineRule="auto"/>
        <w:rPr>
          <w:sz w:val="20"/>
          <w:szCs w:val="20"/>
          <w:color w:val="auto"/>
        </w:rPr>
      </w:pPr>
      <w:r>
        <w:rPr>
          <w:rFonts w:ascii="Arial" w:cs="Arial" w:eastAsia="Arial" w:hAnsi="Arial"/>
          <w:sz w:val="16"/>
          <w:szCs w:val="16"/>
          <w:color w:val="auto"/>
        </w:rPr>
        <w:t>125 Broadway contributed approximately $11.4 million of revenue and approximately $3.3 million of net income to the Company for the period from September 16, 2022 through December 31, 2022. Madison Centre contributed approximately $32.0 million of revenue and approximately $2.1 million of net income to the Company for the period from May 17, 2022 through December 31, 2022.</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Dispositions</w:t>
      </w:r>
    </w:p>
    <w:p>
      <w:pPr>
        <w:spacing w:after="0" w:line="10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March 31, 2022, the Company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office property. 195 West Street contributed approximately $0.4 million of net income to the Company from January 1, 2022 through March 30, 2022 and contributed approximately $0.5 million and $(0.8) million of net income (loss) to the Company for the years ended December 31, 2021 and 2020, respectively.</w:t>
      </w:r>
    </w:p>
    <w:p>
      <w:pPr>
        <w:spacing w:after="0" w:line="140" w:lineRule="exact"/>
        <w:rPr>
          <w:sz w:val="20"/>
          <w:szCs w:val="20"/>
          <w:color w:val="auto"/>
        </w:rPr>
      </w:pPr>
    </w:p>
    <w:p>
      <w:pPr>
        <w:ind w:right="140" w:firstLine="391"/>
        <w:spacing w:after="0" w:line="248" w:lineRule="auto"/>
        <w:rPr>
          <w:sz w:val="20"/>
          <w:szCs w:val="20"/>
          <w:color w:val="auto"/>
        </w:rPr>
      </w:pPr>
      <w:r>
        <w:rPr>
          <w:rFonts w:ascii="Arial" w:cs="Arial" w:eastAsia="Arial" w:hAnsi="Arial"/>
          <w:sz w:val="16"/>
          <w:szCs w:val="16"/>
          <w:color w:val="auto"/>
        </w:rPr>
        <w:t>On April 19, 2021, the Company entered into an agreement to acquire 11251 Roger Bacon Drive in Reston, Virginia for an aggregate purchase price of approximately $5.6 million. On April 7, 2022, the Company executed an agreement to assign its right to acquire 11251 Roger Bacon Drive to a third party for an assignment fee of approximately $6.9 million. Net cash proceeds totaled approximately $6.6 million and are reflected as Other income - assignment fee in the Company's Consolidated Statements of Operations. 11251 Roger Bacon Drive is an approximately 65,000 square foot office building situated on approximately 2.6 acres.</w:t>
      </w:r>
    </w:p>
    <w:p>
      <w:pPr>
        <w:spacing w:after="0" w:line="140"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On June 15, 2022, the Company completed the sale of its suburban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office/flex properties aggregating approximately 733,000 net rentable square feet. Virginia 95 Office Park contributed approximately $2.3 million of net income to the Company from January 1, 2022 through June 14, 2022 and contributed approximately $7.0 million and $7.8 million of net income to the Company for the years ended December 31, 2021 and 2020, respectively.</w:t>
      </w:r>
    </w:p>
    <w:p>
      <w:pPr>
        <w:spacing w:after="0" w:line="124" w:lineRule="exact"/>
        <w:rPr>
          <w:sz w:val="20"/>
          <w:szCs w:val="20"/>
          <w:color w:val="auto"/>
        </w:rPr>
      </w:pPr>
    </w:p>
    <w:p>
      <w:pPr>
        <w:ind w:right="260" w:firstLine="391"/>
        <w:spacing w:after="0" w:line="269" w:lineRule="auto"/>
        <w:rPr>
          <w:sz w:val="20"/>
          <w:szCs w:val="20"/>
          <w:color w:val="auto"/>
        </w:rPr>
      </w:pPr>
      <w:r>
        <w:rPr>
          <w:rFonts w:ascii="Arial" w:cs="Arial" w:eastAsia="Arial" w:hAnsi="Arial"/>
          <w:sz w:val="15"/>
          <w:szCs w:val="15"/>
          <w:color w:val="auto"/>
        </w:rPr>
        <w:t>On August 30, 2022, the Company completed the sale of 601 Massachusetts Avenue located in Washington, DC for a gross sale price of $531.0 million. Net cash proceeds totaled approximately $512.3 million, resulting in a gain on sale of real estate of approximately $237.4 million for BXP and approximately $237.5 million for BPLP. 601 Massachusetts Avenue is an approximately 479,000 net rentable square foot premier workplace. 601 Massachusetts Avenue contributed approximately $14.9 million of net income to the Company for the period from January 1, 2022 through August 29, 2022, respectively, and contributed approximately $22.4 million and $21.8 million of net income to the Company for the years ended December 31, 2021 and 2020, respectively.</w:t>
      </w:r>
    </w:p>
    <w:p>
      <w:pPr>
        <w:spacing w:after="0" w:line="124" w:lineRule="exact"/>
        <w:rPr>
          <w:sz w:val="20"/>
          <w:szCs w:val="20"/>
          <w:color w:val="auto"/>
        </w:rPr>
      </w:pPr>
    </w:p>
    <w:p>
      <w:pPr>
        <w:jc w:val="both"/>
        <w:ind w:right="200" w:firstLine="391"/>
        <w:spacing w:after="0" w:line="250" w:lineRule="auto"/>
        <w:rPr>
          <w:sz w:val="20"/>
          <w:szCs w:val="20"/>
          <w:color w:val="auto"/>
        </w:rPr>
      </w:pPr>
      <w:r>
        <w:rPr>
          <w:rFonts w:ascii="Arial" w:cs="Arial" w:eastAsia="Arial" w:hAnsi="Arial"/>
          <w:sz w:val="16"/>
          <w:szCs w:val="16"/>
          <w:color w:val="auto"/>
        </w:rPr>
        <w:t>On September 15, 2022, the Company completed the sale of two parcels of land located in Loudoun County, Virginia for an aggregate gross sale price of $27.0 million. Net cash proceeds totaled approximately $25.6 million, resulting in a gain on sale of real estate totaling approximately $24.4 million for BXP and BPLP.</w:t>
      </w:r>
    </w:p>
    <w:p>
      <w:pPr>
        <w:spacing w:after="0" w:line="136" w:lineRule="exact"/>
        <w:rPr>
          <w:sz w:val="20"/>
          <w:szCs w:val="20"/>
          <w:color w:val="auto"/>
        </w:rPr>
      </w:pPr>
    </w:p>
    <w:p>
      <w:pPr>
        <w:ind w:right="120" w:firstLine="391"/>
        <w:spacing w:after="0" w:line="247" w:lineRule="auto"/>
        <w:rPr>
          <w:sz w:val="20"/>
          <w:szCs w:val="20"/>
          <w:color w:val="auto"/>
        </w:rPr>
      </w:pPr>
      <w:r>
        <w:rPr>
          <w:rFonts w:ascii="Arial" w:cs="Arial" w:eastAsia="Arial" w:hAnsi="Arial"/>
          <w:sz w:val="16"/>
          <w:szCs w:val="16"/>
          <w:color w:val="auto"/>
        </w:rPr>
        <w:t>On November 8, 2022, the Company completed the sale of the residential component of The Avant at Reston Town Center, located in Reston, Virginia, for a gross sale price of $141.0 million. Net cash proceeds totaled approximately $139.6 million, resulting in a gain on sale of real estate of approximately</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$55.6 million for BXP and BPLP. The Avant at Reston Town Center is a 15-story, 359-unit, luxury multifamily building consisting of approximately 329,000 net rentable square feet, excluding retail space. The Company retained ownership of the approximately 26,000 square foot ground-level retail space. The Avant at Reston Town Center contributed approximately $4.1 million of net income to the Company for the period from January 1, 2022 through November 7, 2022, respectively, and contributed approximately $4.0 million and $4.0 million of net income to the Company for the years ended December 31, 2021 and 2020,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Developments/Redevelopments</w:t>
      </w:r>
    </w:p>
    <w:p>
      <w:pPr>
        <w:spacing w:after="0" w:line="95"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On April 27, 2022, the Company entered into a 15-year lease agreement with AstraZeneca for approximately 566,000 net rentable square feet at the Company’s 290 Binney Street future development project. 290 Binney Street is part of the initial phase of a future life sciences development project located in the heart of Kendall Square in Cambridge, Massachusetts. The full project is expected to consist of two buildings aggregating approximately 1.1 million rentable square feet of life sciences space and an approximately 400,000 square foot residential building (See Note 16).</w:t>
      </w:r>
    </w:p>
    <w:p>
      <w:pPr>
        <w:spacing w:after="0" w:line="137" w:lineRule="exact"/>
        <w:rPr>
          <w:sz w:val="20"/>
          <w:szCs w:val="20"/>
          <w:color w:val="auto"/>
        </w:rPr>
      </w:pPr>
    </w:p>
    <w:p>
      <w:pPr>
        <w:ind w:right="560" w:firstLine="391"/>
        <w:spacing w:after="0" w:line="253" w:lineRule="auto"/>
        <w:rPr>
          <w:sz w:val="20"/>
          <w:szCs w:val="20"/>
          <w:color w:val="auto"/>
        </w:rPr>
      </w:pPr>
      <w:r>
        <w:rPr>
          <w:rFonts w:ascii="Arial" w:cs="Arial" w:eastAsia="Arial" w:hAnsi="Arial"/>
          <w:sz w:val="16"/>
          <w:szCs w:val="16"/>
          <w:color w:val="auto"/>
        </w:rPr>
        <w:t>On April 29, 2022, the Company partially placed in-service 2100 Pennsylvania Avenue, a premier workplace project with approximately 480,000 net rentable square feet located in Washington, DC.</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May 13, 2022, the Company commenced the development of Reston Next Office Phase II, a premier workplace project located in Reston, Virginia.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When completed, the building will consist of approximately 90,000 net rentable square feet.</w:t>
      </w:r>
    </w:p>
    <w:p>
      <w:pPr>
        <w:spacing w:after="0" w:line="148" w:lineRule="exact"/>
        <w:rPr>
          <w:sz w:val="20"/>
          <w:szCs w:val="20"/>
          <w:color w:val="auto"/>
        </w:rPr>
      </w:pPr>
    </w:p>
    <w:p>
      <w:pPr>
        <w:ind w:right="520" w:firstLine="391"/>
        <w:spacing w:after="0" w:line="253" w:lineRule="auto"/>
        <w:rPr>
          <w:sz w:val="20"/>
          <w:szCs w:val="20"/>
          <w:color w:val="auto"/>
        </w:rPr>
      </w:pPr>
      <w:r>
        <w:rPr>
          <w:rFonts w:ascii="Arial" w:cs="Arial" w:eastAsia="Arial" w:hAnsi="Arial"/>
          <w:sz w:val="16"/>
          <w:szCs w:val="16"/>
          <w:color w:val="auto"/>
        </w:rPr>
        <w:t>On June 29, 2022, the Company completed and fully placed in-service 325 Main Street, a premier workplace project with approximately 414,000 net rentable square feet located in Cambridge, Massachusetts.</w:t>
      </w:r>
    </w:p>
    <w:p>
      <w:pPr>
        <w:spacing w:after="0" w:line="134" w:lineRule="exact"/>
        <w:rPr>
          <w:sz w:val="20"/>
          <w:szCs w:val="20"/>
          <w:color w:val="auto"/>
        </w:rPr>
      </w:pPr>
    </w:p>
    <w:p>
      <w:pPr>
        <w:ind w:right="300" w:firstLine="391"/>
        <w:spacing w:after="0" w:line="249" w:lineRule="auto"/>
        <w:rPr>
          <w:sz w:val="20"/>
          <w:szCs w:val="20"/>
          <w:color w:val="auto"/>
        </w:rPr>
      </w:pPr>
      <w:r>
        <w:rPr>
          <w:rFonts w:ascii="Arial" w:cs="Arial" w:eastAsia="Arial" w:hAnsi="Arial"/>
          <w:sz w:val="16"/>
          <w:szCs w:val="16"/>
          <w:color w:val="auto"/>
        </w:rPr>
        <w:t>On July 1, 2022, the Company commenced the redevelopment of 140 Kendrick Street, a premier workplace that consists of three buildings aggregating approximately 388,000 net rentable square feet located in Needham, Massachusetts. The redevelopment is a repositioning of one building consisting of approximately 90,000 net rentable square feet into a net zero, carbon neutral premier workplace building, as defined by the LEED Zero Carbon Certification. When completed, the building will consist of approximately 104,000 net rentable square feet.</w:t>
      </w:r>
    </w:p>
    <w:p>
      <w:pPr>
        <w:spacing w:after="0" w:line="137"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On September 8, 2022, the Company terminated its existing lease agreement with its tenant at 300 Binney Street to facilitate the conversion and expansion of the property. 300 Binney Street is a premier workplace with approximately 195,000 net rentable square feet at Kendall Center in Cambridge, Massachusetts that will be redeveloped into approximately 240,000 net rentable square feet of laboratory/life sciences space (See Note 16).</w:t>
      </w:r>
    </w:p>
    <w:p>
      <w:pPr>
        <w:spacing w:after="0" w:line="136" w:lineRule="exact"/>
        <w:rPr>
          <w:sz w:val="20"/>
          <w:szCs w:val="20"/>
          <w:color w:val="auto"/>
        </w:rPr>
      </w:pPr>
    </w:p>
    <w:p>
      <w:pPr>
        <w:ind w:right="200" w:firstLine="391"/>
        <w:spacing w:after="0" w:line="253" w:lineRule="auto"/>
        <w:rPr>
          <w:sz w:val="20"/>
          <w:szCs w:val="20"/>
          <w:color w:val="auto"/>
        </w:rPr>
      </w:pPr>
      <w:r>
        <w:rPr>
          <w:rFonts w:ascii="Arial" w:cs="Arial" w:eastAsia="Arial" w:hAnsi="Arial"/>
          <w:sz w:val="16"/>
          <w:szCs w:val="16"/>
          <w:color w:val="auto"/>
        </w:rPr>
        <w:t>On September 12, 2022, the Company commenced the redevelopment of 760 Boylston Street, a retail project at the Prudential Center located in Boston, Massachusetts. The redevelopment is a modernization of the space consisting of approximately 118,000 net rentable square feet.</w:t>
      </w:r>
    </w:p>
    <w:p>
      <w:pPr>
        <w:spacing w:after="0" w:line="134" w:lineRule="exact"/>
        <w:rPr>
          <w:sz w:val="20"/>
          <w:szCs w:val="20"/>
          <w:color w:val="auto"/>
        </w:rPr>
      </w:pPr>
    </w:p>
    <w:p>
      <w:pPr>
        <w:ind w:right="360" w:firstLine="391"/>
        <w:spacing w:after="0" w:line="253" w:lineRule="auto"/>
        <w:rPr>
          <w:sz w:val="20"/>
          <w:szCs w:val="20"/>
          <w:color w:val="auto"/>
        </w:rPr>
      </w:pPr>
      <w:r>
        <w:rPr>
          <w:rFonts w:ascii="Arial" w:cs="Arial" w:eastAsia="Arial" w:hAnsi="Arial"/>
          <w:sz w:val="16"/>
          <w:szCs w:val="16"/>
          <w:color w:val="auto"/>
        </w:rPr>
        <w:t>On October 19, 2022, the Company completed and fully placed in-service Reston Next, a premier workplace project consisting of two buildings with an aggregate of approximately 1.1 million net rentable square feet, located in Reston, Virginia.</w:t>
      </w:r>
    </w:p>
    <w:p>
      <w:pPr>
        <w:spacing w:after="0" w:line="134" w:lineRule="exact"/>
        <w:rPr>
          <w:sz w:val="20"/>
          <w:szCs w:val="20"/>
          <w:color w:val="auto"/>
        </w:rPr>
      </w:pPr>
    </w:p>
    <w:p>
      <w:pPr>
        <w:jc w:val="both"/>
        <w:ind w:right="100" w:firstLine="391"/>
        <w:spacing w:after="0" w:line="250" w:lineRule="auto"/>
        <w:rPr>
          <w:sz w:val="20"/>
          <w:szCs w:val="20"/>
          <w:color w:val="auto"/>
        </w:rPr>
      </w:pPr>
      <w:r>
        <w:rPr>
          <w:rFonts w:ascii="Arial" w:cs="Arial" w:eastAsia="Arial" w:hAnsi="Arial"/>
          <w:sz w:val="16"/>
          <w:szCs w:val="16"/>
          <w:color w:val="auto"/>
        </w:rPr>
        <w:t>On November 30, 2022, the Company commenced the redevelopment of 105 Carnegie Center, located in Princeton, New Jersey. The redevelopment is a repositioning of the property. 105 Carnegie Center consisted of approximately 70,000 net rentable square feet of office space. When completed, the building will consist of approximately 73,000 net rentable square feet of laboratory/life sciences space.</w:t>
      </w:r>
    </w:p>
    <w:p>
      <w:pPr>
        <w:spacing w:after="0" w:line="136" w:lineRule="exact"/>
        <w:rPr>
          <w:sz w:val="20"/>
          <w:szCs w:val="20"/>
          <w:color w:val="auto"/>
        </w:rPr>
      </w:pPr>
    </w:p>
    <w:p>
      <w:pPr>
        <w:jc w:val="both"/>
        <w:ind w:right="140" w:firstLine="391"/>
        <w:spacing w:after="0" w:line="250" w:lineRule="auto"/>
        <w:rPr>
          <w:sz w:val="20"/>
          <w:szCs w:val="20"/>
          <w:color w:val="auto"/>
        </w:rPr>
      </w:pPr>
      <w:r>
        <w:rPr>
          <w:rFonts w:ascii="Arial" w:cs="Arial" w:eastAsia="Arial" w:hAnsi="Arial"/>
          <w:sz w:val="16"/>
          <w:szCs w:val="16"/>
          <w:color w:val="auto"/>
        </w:rPr>
        <w:t>On December 1, 2022, the Company removed 2096 Gaither Road from its in-service portfolio following the expiration of the last leases on November 30, 2022. 2096 Gaither Road consisted of approximately 50,000 net rentable square feet of office space in the Company’s Shady Grove Innovation District, located in Rockville, Maryland. The Company anticipates it will redevelop or convert 2096 Gaither Road to support lab or life sciences-related uses.</w:t>
      </w:r>
    </w:p>
    <w:p>
      <w:pPr>
        <w:spacing w:after="0" w:line="136" w:lineRule="exact"/>
        <w:rPr>
          <w:sz w:val="20"/>
          <w:szCs w:val="20"/>
          <w:color w:val="auto"/>
        </w:rPr>
      </w:pPr>
    </w:p>
    <w:p>
      <w:pPr>
        <w:ind w:right="660" w:firstLine="391"/>
        <w:spacing w:after="0" w:line="253" w:lineRule="auto"/>
        <w:rPr>
          <w:sz w:val="20"/>
          <w:szCs w:val="20"/>
          <w:color w:val="auto"/>
        </w:rPr>
      </w:pPr>
      <w:r>
        <w:rPr>
          <w:rFonts w:ascii="Arial" w:cs="Arial" w:eastAsia="Arial" w:hAnsi="Arial"/>
          <w:sz w:val="16"/>
          <w:szCs w:val="16"/>
          <w:color w:val="auto"/>
        </w:rPr>
        <w:t>On December 23, 2022, the Company completed and fully placed in-service 880 Winter Street, an approximately 244,000 net rentable square foot laboratory/life sciences project located in Waltham, Massachusetts.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Leases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estimates the collectability of its accrued rent and accounts receivable balances related to lease revenue. When evaluating the collectability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of these accrued rent and accounts receivable balances, management considers tenant creditworthiness, current economic trends and changes in tenants’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payment patterns, on a lease-by-lease basis. During the years ended December 31, 2021 and 2020, the Company wrote off approximately $1.3 million 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$90.3 million, respectively, related to accrued rent, net balances and accounts receivable, net balances. The write-offs were for tenants, primarily in the retail and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co-working sectors, that either terminated their leases or for which the Company determined their accrued rent and/or accounts receivable balances were no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longer probable of collection.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91"/>
        <w:spacing w:after="0" w:line="249" w:lineRule="auto"/>
        <w:rPr>
          <w:sz w:val="20"/>
          <w:szCs w:val="20"/>
          <w:color w:val="auto"/>
        </w:rPr>
      </w:pPr>
      <w:r>
        <w:rPr>
          <w:rFonts w:ascii="Arial" w:cs="Arial" w:eastAsia="Arial" w:hAnsi="Arial"/>
          <w:sz w:val="16"/>
          <w:szCs w:val="16"/>
          <w:color w:val="auto"/>
        </w:rPr>
        <w:t>In April 2020, the FASB staff issued a question and answer document (“Lease Modification Q &amp; A”) related to the application of lease accounting guidance for lease concessions, in accordance with ASC 842, as a result of COVID-19. The Company did not utilize the guidance provided in the Lease Modification Q &amp; A and instead elected to continue to account for the COVID-19 lease concessions on a lease-by-lease basis in accordance with the existing lease modification accounting framework.</w:t>
      </w:r>
    </w:p>
    <w:p>
      <w:pPr>
        <w:spacing w:after="0" w:line="137" w:lineRule="exact"/>
        <w:rPr>
          <w:sz w:val="20"/>
          <w:szCs w:val="20"/>
          <w:color w:val="auto"/>
        </w:rPr>
      </w:pPr>
    </w:p>
    <w:p>
      <w:pPr>
        <w:ind w:right="3160" w:firstLine="391"/>
        <w:spacing w:after="0" w:line="271" w:lineRule="auto"/>
        <w:rPr>
          <w:sz w:val="20"/>
          <w:szCs w:val="20"/>
          <w:color w:val="auto"/>
        </w:rPr>
      </w:pPr>
      <w:r>
        <w:rPr>
          <w:rFonts w:ascii="Arial" w:cs="Arial" w:eastAsia="Arial" w:hAnsi="Arial"/>
          <w:sz w:val="15"/>
          <w:szCs w:val="15"/>
          <w:color w:val="auto"/>
        </w:rPr>
        <w:t>During the year ended December 31, 2022, the Company determined it was probable of collecting substantially all of certain clients’ accrued rent and account receivable balances and, therefore, ceased recognizing revenue from such clients on a cash basis. As a result of returning these clients to accrual basis accounting, the Company reinstated approximately $1.5 million of accrued rent balances during the year ended December 31, 2022.</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Lessee</w:t>
      </w:r>
    </w:p>
    <w:p>
      <w:pPr>
        <w:spacing w:after="0" w:line="89" w:lineRule="exact"/>
        <w:rPr>
          <w:sz w:val="20"/>
          <w:szCs w:val="20"/>
          <w:color w:val="auto"/>
        </w:rPr>
      </w:pPr>
    </w:p>
    <w:p>
      <w:pPr>
        <w:ind w:right="280" w:firstLine="356"/>
        <w:spacing w:after="0" w:line="249" w:lineRule="auto"/>
        <w:rPr>
          <w:sz w:val="20"/>
          <w:szCs w:val="20"/>
          <w:color w:val="auto"/>
        </w:rPr>
      </w:pPr>
      <w:r>
        <w:rPr>
          <w:rFonts w:ascii="Arial" w:cs="Arial" w:eastAsia="Arial" w:hAnsi="Arial"/>
          <w:sz w:val="16"/>
          <w:szCs w:val="16"/>
          <w:color w:val="auto"/>
        </w:rPr>
        <w:t>The Company has four non-cancelable ground lease obligations, as lessee, which were classified as operating leases, with various initial term expiration dates through 2114 for the years ended December 31, 2022, 2021 and 2020. The Company recognizes ground rent expense on a straight-line basis over the term of the respective ground lease agreements. As of December 31, 2022, none of the amounts disclosed below for these ground leases contain variable payments, extension options or residual value guarantees.</w:t>
      </w:r>
    </w:p>
    <w:p>
      <w:pPr>
        <w:spacing w:after="0" w:line="137" w:lineRule="exact"/>
        <w:rPr>
          <w:sz w:val="20"/>
          <w:szCs w:val="20"/>
          <w:color w:val="auto"/>
        </w:rPr>
      </w:pPr>
    </w:p>
    <w:p>
      <w:pPr>
        <w:ind w:right="180" w:firstLine="356"/>
        <w:spacing w:after="0" w:line="253" w:lineRule="auto"/>
        <w:rPr>
          <w:sz w:val="20"/>
          <w:szCs w:val="20"/>
          <w:color w:val="auto"/>
        </w:rPr>
      </w:pPr>
      <w:r>
        <w:rPr>
          <w:rFonts w:ascii="Arial" w:cs="Arial" w:eastAsia="Arial" w:hAnsi="Arial"/>
          <w:sz w:val="16"/>
          <w:szCs w:val="16"/>
          <w:color w:val="auto"/>
        </w:rPr>
        <w:t>The Company has four finance lease obligations with various initial term expiration dates through 2094 for the years ended December 31, 2022, 2021 and 2020.</w:t>
      </w:r>
    </w:p>
    <w:p>
      <w:pPr>
        <w:spacing w:after="0" w:line="134" w:lineRule="exact"/>
        <w:rPr>
          <w:sz w:val="20"/>
          <w:szCs w:val="20"/>
          <w:color w:val="auto"/>
        </w:rPr>
      </w:pPr>
    </w:p>
    <w:p>
      <w:pPr>
        <w:ind w:firstLine="356"/>
        <w:spacing w:after="0" w:line="253" w:lineRule="auto"/>
        <w:rPr>
          <w:sz w:val="20"/>
          <w:szCs w:val="20"/>
          <w:color w:val="auto"/>
        </w:rPr>
      </w:pPr>
      <w:r>
        <w:rPr>
          <w:rFonts w:ascii="Arial" w:cs="Arial" w:eastAsia="Arial" w:hAnsi="Arial"/>
          <w:sz w:val="16"/>
          <w:szCs w:val="16"/>
          <w:color w:val="auto"/>
        </w:rPr>
        <w:t>The following table provides lease cost information for the Company’s operating and finance leases for the years ended December 31, 2022, 2021 and 2020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costs</w:t>
            </w:r>
          </w:p>
        </w:tc>
        <w:tc>
          <w:tcPr>
            <w:tcW w:w="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23"/>
              <w:spacing w:after="0"/>
              <w:rPr>
                <w:sz w:val="20"/>
                <w:szCs w:val="20"/>
                <w:color w:val="auto"/>
              </w:rPr>
            </w:pPr>
            <w:r>
              <w:rPr>
                <w:rFonts w:ascii="Arial" w:cs="Arial" w:eastAsia="Arial" w:hAnsi="Arial"/>
                <w:sz w:val="14"/>
                <w:szCs w:val="14"/>
                <w:b w:val="1"/>
                <w:bCs w:val="1"/>
                <w:color w:val="auto"/>
              </w:rPr>
              <w:t>2020</w:t>
            </w:r>
          </w:p>
        </w:tc>
      </w:tr>
      <w:tr>
        <w:trPr>
          <w:trHeight w:val="194"/>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13,948</w:t>
            </w:r>
          </w:p>
        </w:tc>
      </w:tr>
      <w:tr>
        <w:trPr>
          <w:trHeight w:val="201"/>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Finance lease costs</w:t>
            </w: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2"/>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right of use asset (1)</w:t>
            </w: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w:t>
            </w:r>
          </w:p>
        </w:tc>
      </w:tr>
      <w:tr>
        <w:trPr>
          <w:trHeight w:val="200"/>
        </w:trPr>
        <w:tc>
          <w:tcPr>
            <w:tcW w:w="4680" w:type="dxa"/>
            <w:vAlign w:val="bottom"/>
            <w:gridSpan w:val="2"/>
          </w:tcPr>
          <w:p>
            <w:pPr>
              <w:ind w:left="360"/>
              <w:spacing w:after="0"/>
              <w:rPr>
                <w:sz w:val="20"/>
                <w:szCs w:val="20"/>
                <w:color w:val="auto"/>
              </w:rPr>
            </w:pPr>
            <w:r>
              <w:rPr>
                <w:rFonts w:ascii="Arial" w:cs="Arial" w:eastAsia="Arial" w:hAnsi="Arial"/>
                <w:sz w:val="16"/>
                <w:szCs w:val="16"/>
                <w:color w:val="auto"/>
              </w:rPr>
              <w:t>Interest on lease liabilities (2)</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3,236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2,471</w:t>
            </w:r>
          </w:p>
        </w:tc>
        <w:tc>
          <w:tcPr>
            <w:tcW w:w="160" w:type="dxa"/>
            <w:vAlign w:val="bottom"/>
          </w:tcPr>
          <w:p>
            <w:pPr>
              <w:spacing w:after="0"/>
              <w:rPr>
                <w:sz w:val="17"/>
                <w:szCs w:val="17"/>
                <w:color w:val="auto"/>
              </w:rPr>
            </w:pPr>
          </w:p>
        </w:tc>
        <w:tc>
          <w:tcPr>
            <w:tcW w:w="5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583</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5" w:lineRule="exact"/>
        <w:rPr>
          <w:sz w:val="20"/>
          <w:szCs w:val="20"/>
          <w:color w:val="auto"/>
        </w:rPr>
      </w:pPr>
    </w:p>
    <w:p>
      <w:pPr>
        <w:ind w:left="560" w:right="120" w:hanging="281"/>
        <w:spacing w:after="0" w:line="254" w:lineRule="auto"/>
        <w:tabs>
          <w:tab w:leader="none" w:pos="55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finance leases relate to either land, buildings or assets that remain in development. For land leases classified as finance leases because of a purchase option that the Company views as an economic incentive, the Company follows its existing policy and does not depreciate land because it is assumed to have an indefinite life. For all other finance leases, the Company would amortize the right of use asset over the shorter of the useful life of the asset or the lease term. If the finance lease relates to a property under development, the amortization of the right of use asset may be eligible for capitalization. For assets under development, depreciation may commence once the asset is placed in-service and depreciation would be recognized in accordance with the Company’s policy.</w:t>
      </w:r>
    </w:p>
    <w:p>
      <w:pPr>
        <w:spacing w:after="0" w:line="1" w:lineRule="exact"/>
        <w:rPr>
          <w:rFonts w:ascii="Arial" w:cs="Arial" w:eastAsia="Arial" w:hAnsi="Arial"/>
          <w:sz w:val="14"/>
          <w:szCs w:val="14"/>
          <w:color w:val="auto"/>
        </w:rPr>
      </w:pPr>
    </w:p>
    <w:p>
      <w:pPr>
        <w:ind w:left="560" w:right="620" w:hanging="281"/>
        <w:spacing w:after="0" w:line="279" w:lineRule="auto"/>
        <w:tabs>
          <w:tab w:leader="none" w:pos="55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One, two and three of the finance leases relate to assets under development for all or a portion of the years ended December 31, 2022, December 31, 2021 and December 31, 2020, respectively, and as such, a portion of the interest amount was capitalized.</w:t>
      </w:r>
    </w:p>
    <w:p>
      <w:pPr>
        <w:spacing w:after="0" w:line="192" w:lineRule="exact"/>
        <w:rPr>
          <w:sz w:val="20"/>
          <w:szCs w:val="20"/>
          <w:color w:val="auto"/>
        </w:rPr>
      </w:pPr>
    </w:p>
    <w:p>
      <w:pPr>
        <w:ind w:right="320" w:firstLine="356"/>
        <w:spacing w:after="0" w:line="253" w:lineRule="auto"/>
        <w:rPr>
          <w:sz w:val="20"/>
          <w:szCs w:val="20"/>
          <w:color w:val="auto"/>
        </w:rPr>
      </w:pPr>
      <w:r>
        <w:rPr>
          <w:rFonts w:ascii="Arial" w:cs="Arial" w:eastAsia="Arial" w:hAnsi="Arial"/>
          <w:sz w:val="16"/>
          <w:szCs w:val="16"/>
          <w:color w:val="auto"/>
        </w:rPr>
        <w:t>The following table provides other quantitative information for the Company’s operating and finance leases as of December 31, 2022 and December 31,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80" w:type="dxa"/>
            <w:vAlign w:val="bottom"/>
            <w:gridSpan w:val="2"/>
          </w:tcPr>
          <w:p>
            <w:pPr>
              <w:ind w:left="920"/>
              <w:spacing w:after="0"/>
              <w:rPr>
                <w:sz w:val="20"/>
                <w:szCs w:val="20"/>
                <w:color w:val="auto"/>
              </w:rPr>
            </w:pPr>
            <w:r>
              <w:rPr>
                <w:rFonts w:ascii="Arial" w:cs="Arial" w:eastAsia="Arial" w:hAnsi="Arial"/>
                <w:sz w:val="14"/>
                <w:szCs w:val="14"/>
                <w:b w:val="1"/>
                <w:bCs w:val="1"/>
                <w:color w:val="auto"/>
              </w:rPr>
              <w:t>December 31, 2022</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information</w:t>
            </w:r>
          </w:p>
        </w:tc>
        <w:tc>
          <w:tcPr>
            <w:tcW w:w="214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r>
      <w:tr>
        <w:trPr>
          <w:trHeight w:val="201"/>
        </w:trPr>
        <w:tc>
          <w:tcPr>
            <w:tcW w:w="4500" w:type="dxa"/>
            <w:vAlign w:val="bottom"/>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4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1"/>
        </w:trPr>
        <w:tc>
          <w:tcPr>
            <w:tcW w:w="4500" w:type="dxa"/>
            <w:vAlign w:val="bottom"/>
          </w:tcPr>
          <w:p>
            <w:pPr>
              <w:ind w:left="360"/>
              <w:spacing w:after="0"/>
              <w:rPr>
                <w:sz w:val="20"/>
                <w:szCs w:val="20"/>
                <w:color w:val="auto"/>
              </w:rPr>
            </w:pPr>
            <w:r>
              <w:rPr>
                <w:rFonts w:ascii="Arial" w:cs="Arial" w:eastAsia="Arial" w:hAnsi="Arial"/>
                <w:sz w:val="16"/>
                <w:szCs w:val="16"/>
                <w:color w:val="auto"/>
              </w:rPr>
              <w:t>Finance leases</w:t>
            </w:r>
          </w:p>
        </w:tc>
        <w:tc>
          <w:tcPr>
            <w:tcW w:w="436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21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01"/>
        </w:trPr>
        <w:tc>
          <w:tcPr>
            <w:tcW w:w="4500" w:type="dxa"/>
            <w:vAlign w:val="bottom"/>
          </w:tcPr>
          <w:p>
            <w:pPr>
              <w:ind w:left="360"/>
              <w:spacing w:after="0"/>
              <w:rPr>
                <w:sz w:val="20"/>
                <w:szCs w:val="20"/>
                <w:color w:val="auto"/>
              </w:rPr>
            </w:pPr>
            <w:r>
              <w:rPr>
                <w:rFonts w:ascii="Arial" w:cs="Arial" w:eastAsia="Arial" w:hAnsi="Arial"/>
                <w:sz w:val="16"/>
                <w:szCs w:val="16"/>
                <w:color w:val="auto"/>
              </w:rPr>
              <w:t>Operating leases</w:t>
            </w:r>
          </w:p>
        </w:tc>
        <w:tc>
          <w:tcPr>
            <w:tcW w:w="4360" w:type="dxa"/>
            <w:vAlign w:val="bottom"/>
            <w:gridSpan w:val="2"/>
          </w:tcPr>
          <w:p>
            <w:pPr>
              <w:jc w:val="right"/>
              <w:spacing w:after="0"/>
              <w:rPr>
                <w:sz w:val="20"/>
                <w:szCs w:val="20"/>
                <w:color w:val="auto"/>
              </w:rPr>
            </w:pPr>
            <w:r>
              <w:rPr>
                <w:rFonts w:ascii="Arial" w:cs="Arial" w:eastAsia="Arial" w:hAnsi="Arial"/>
                <w:sz w:val="16"/>
                <w:szCs w:val="16"/>
                <w:color w:val="auto"/>
              </w:rPr>
              <w:t>5.7 %</w:t>
            </w:r>
          </w:p>
        </w:tc>
        <w:tc>
          <w:tcPr>
            <w:tcW w:w="1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02"/>
        </w:trPr>
        <w:tc>
          <w:tcPr>
            <w:tcW w:w="4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757"/>
        </w:trPr>
        <w:tc>
          <w:tcPr>
            <w:tcW w:w="4500" w:type="dxa"/>
            <w:vAlign w:val="bottom"/>
          </w:tcPr>
          <w:p>
            <w:pPr>
              <w:spacing w:after="0"/>
              <w:rPr>
                <w:sz w:val="24"/>
                <w:szCs w:val="24"/>
                <w:color w:val="auto"/>
              </w:rPr>
            </w:pPr>
          </w:p>
        </w:tc>
        <w:tc>
          <w:tcPr>
            <w:tcW w:w="2140" w:type="dxa"/>
            <w:vAlign w:val="bottom"/>
          </w:tcPr>
          <w:p>
            <w:pPr>
              <w:jc w:val="right"/>
              <w:ind w:right="801"/>
              <w:spacing w:after="0"/>
              <w:rPr>
                <w:sz w:val="20"/>
                <w:szCs w:val="20"/>
                <w:color w:val="auto"/>
              </w:rPr>
            </w:pPr>
            <w:r>
              <w:rPr>
                <w:rFonts w:ascii="Arial" w:cs="Arial" w:eastAsia="Arial" w:hAnsi="Arial"/>
                <w:sz w:val="16"/>
                <w:szCs w:val="16"/>
                <w:color w:val="auto"/>
              </w:rPr>
              <w:t>147</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0"/>
        </w:trPr>
        <w:tc>
          <w:tcPr>
            <w:tcW w:w="450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firstLine="356"/>
        <w:spacing w:after="0" w:line="253" w:lineRule="auto"/>
        <w:rPr>
          <w:sz w:val="20"/>
          <w:szCs w:val="20"/>
          <w:color w:val="auto"/>
        </w:rPr>
      </w:pPr>
      <w:r>
        <w:rPr>
          <w:rFonts w:ascii="Arial" w:cs="Arial" w:eastAsia="Arial" w:hAnsi="Arial"/>
          <w:sz w:val="16"/>
          <w:szCs w:val="16"/>
          <w:color w:val="auto"/>
        </w:rPr>
        <w:t>The following table provides a maturity analysis for the Company’s lease liabilities related to its operating and finance leases as of December 31, 2022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Finance</w:t>
            </w: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40" w:type="dxa"/>
            <w:vAlign w:val="bottom"/>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22,415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9,306</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2024 (1)</w:t>
            </w:r>
          </w:p>
        </w:tc>
        <w:tc>
          <w:tcPr>
            <w:tcW w:w="14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22,274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49,343</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10,308</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9,971</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2026</w:t>
            </w:r>
          </w:p>
        </w:tc>
        <w:tc>
          <w:tcPr>
            <w:tcW w:w="14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10,100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10,166</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9,885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10,364</w:t>
            </w:r>
          </w:p>
        </w:tc>
      </w:tr>
      <w:tr>
        <w:trPr>
          <w:trHeight w:val="20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528,915</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1,352,647</w:t>
            </w:r>
          </w:p>
        </w:tc>
      </w:tr>
      <w:tr>
        <w:trPr>
          <w:trHeight w:val="194"/>
        </w:trPr>
        <w:tc>
          <w:tcPr>
            <w:tcW w:w="67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lease payments</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603,897</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1,441,797</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Less:</w:t>
            </w: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1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399,211</w:t>
            </w:r>
          </w:p>
        </w:tc>
        <w:tc>
          <w:tcPr>
            <w:tcW w:w="2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1,192,462</w:t>
            </w:r>
          </w:p>
        </w:tc>
      </w:tr>
      <w:tr>
        <w:trPr>
          <w:trHeight w:val="193"/>
        </w:trPr>
        <w:tc>
          <w:tcPr>
            <w:tcW w:w="6780" w:type="dxa"/>
            <w:vAlign w:val="bottom"/>
          </w:tcPr>
          <w:p>
            <w:pPr>
              <w:ind w:left="20"/>
              <w:spacing w:after="0" w:line="180" w:lineRule="exact"/>
              <w:rPr>
                <w:sz w:val="20"/>
                <w:szCs w:val="20"/>
                <w:color w:val="auto"/>
              </w:rPr>
            </w:pPr>
            <w:r>
              <w:rPr>
                <w:rFonts w:ascii="Arial" w:cs="Arial" w:eastAsia="Arial" w:hAnsi="Arial"/>
                <w:sz w:val="16"/>
                <w:szCs w:val="16"/>
                <w:color w:val="auto"/>
              </w:rPr>
              <w:t>Present value of lease payments</w:t>
            </w:r>
          </w:p>
        </w:tc>
        <w:tc>
          <w:tcPr>
            <w:tcW w:w="1440" w:type="dxa"/>
            <w:vAlign w:val="bottom"/>
            <w:tcBorders>
              <w:bottom w:val="single" w:sz="8" w:color="auto"/>
            </w:tcBorders>
          </w:tcPr>
          <w:p>
            <w:pPr>
              <w:jc w:val="right"/>
              <w:ind w:right="126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204,686</w:t>
            </w: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249,335</w:t>
            </w:r>
          </w:p>
        </w:tc>
      </w:tr>
      <w:tr>
        <w:trPr>
          <w:trHeight w:val="20"/>
        </w:trPr>
        <w:tc>
          <w:tcPr>
            <w:tcW w:w="6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  Finance lease payments in 2024 include approximately $38.7 million related to a purchase option that the Company is reasonably certain it will exercise.</w:t>
      </w:r>
    </w:p>
    <w:p>
      <w:pPr>
        <w:spacing w:after="0" w:line="240" w:lineRule="exact"/>
        <w:rPr>
          <w:sz w:val="20"/>
          <w:szCs w:val="20"/>
          <w:color w:val="auto"/>
        </w:rPr>
      </w:pPr>
    </w:p>
    <w:p>
      <w:pPr>
        <w:ind w:right="200" w:firstLine="356"/>
        <w:spacing w:after="0" w:line="253" w:lineRule="auto"/>
        <w:rPr>
          <w:sz w:val="20"/>
          <w:szCs w:val="20"/>
          <w:color w:val="auto"/>
        </w:rPr>
      </w:pPr>
      <w:r>
        <w:rPr>
          <w:rFonts w:ascii="Arial" w:cs="Arial" w:eastAsia="Arial" w:hAnsi="Arial"/>
          <w:sz w:val="16"/>
          <w:szCs w:val="16"/>
          <w:color w:val="auto"/>
        </w:rPr>
        <w:t>The following table provides a maturity analysis for the Company’s lease liabilities related to its operating and finance leases as of December 31, 2021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Finance</w:t>
            </w: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19,623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8,762</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2023</w:t>
            </w:r>
          </w:p>
        </w:tc>
        <w:tc>
          <w:tcPr>
            <w:tcW w:w="14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25,333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10,826</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(1)</w:t>
            </w: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10,085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48,605</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2025</w:t>
            </w:r>
          </w:p>
        </w:tc>
        <w:tc>
          <w:tcPr>
            <w:tcW w:w="14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10,307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9,971</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10,100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10,166</w:t>
            </w:r>
          </w:p>
        </w:tc>
      </w:tr>
      <w:tr>
        <w:trPr>
          <w:trHeight w:val="20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538,801</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1,363,011</w:t>
            </w:r>
          </w:p>
        </w:tc>
      </w:tr>
      <w:tr>
        <w:trPr>
          <w:trHeight w:val="194"/>
        </w:trPr>
        <w:tc>
          <w:tcPr>
            <w:tcW w:w="67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lease payments</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614,249</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1,451,341</w:t>
            </w:r>
          </w:p>
        </w:tc>
      </w:tr>
      <w:tr>
        <w:trPr>
          <w:trHeight w:val="201"/>
        </w:trPr>
        <w:tc>
          <w:tcPr>
            <w:tcW w:w="6780" w:type="dxa"/>
            <w:vAlign w:val="bottom"/>
          </w:tcPr>
          <w:p>
            <w:pPr>
              <w:ind w:left="20"/>
              <w:spacing w:after="0"/>
              <w:rPr>
                <w:sz w:val="20"/>
                <w:szCs w:val="20"/>
                <w:color w:val="auto"/>
              </w:rPr>
            </w:pPr>
            <w:r>
              <w:rPr>
                <w:rFonts w:ascii="Arial" w:cs="Arial" w:eastAsia="Arial" w:hAnsi="Arial"/>
                <w:sz w:val="16"/>
                <w:szCs w:val="16"/>
                <w:color w:val="auto"/>
              </w:rPr>
              <w:t>Less:</w:t>
            </w: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1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409,688</w:t>
            </w:r>
          </w:p>
        </w:tc>
        <w:tc>
          <w:tcPr>
            <w:tcW w:w="2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1,206,920</w:t>
            </w:r>
          </w:p>
        </w:tc>
      </w:tr>
      <w:tr>
        <w:trPr>
          <w:trHeight w:val="193"/>
        </w:trPr>
        <w:tc>
          <w:tcPr>
            <w:tcW w:w="6780" w:type="dxa"/>
            <w:vAlign w:val="bottom"/>
          </w:tcPr>
          <w:p>
            <w:pPr>
              <w:ind w:left="20"/>
              <w:spacing w:after="0" w:line="180" w:lineRule="exact"/>
              <w:rPr>
                <w:sz w:val="20"/>
                <w:szCs w:val="20"/>
                <w:color w:val="auto"/>
              </w:rPr>
            </w:pPr>
            <w:r>
              <w:rPr>
                <w:rFonts w:ascii="Arial" w:cs="Arial" w:eastAsia="Arial" w:hAnsi="Arial"/>
                <w:sz w:val="16"/>
                <w:szCs w:val="16"/>
                <w:color w:val="auto"/>
              </w:rPr>
              <w:t>Present value of lease payments</w:t>
            </w:r>
          </w:p>
        </w:tc>
        <w:tc>
          <w:tcPr>
            <w:tcW w:w="1440" w:type="dxa"/>
            <w:vAlign w:val="bottom"/>
            <w:tcBorders>
              <w:bottom w:val="single" w:sz="8" w:color="auto"/>
            </w:tcBorders>
          </w:tcPr>
          <w:p>
            <w:pPr>
              <w:jc w:val="right"/>
              <w:ind w:right="126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204,561</w:t>
            </w: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244,421</w:t>
            </w:r>
          </w:p>
        </w:tc>
      </w:tr>
      <w:tr>
        <w:trPr>
          <w:trHeight w:val="20"/>
        </w:trPr>
        <w:tc>
          <w:tcPr>
            <w:tcW w:w="6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  Finance lease payments in 2024 include approximately $38.7 million related to a purchase option that the Company is reasonably certain it will exercise.</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Lessor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Operating Leases</w:t>
      </w:r>
    </w:p>
    <w:p>
      <w:pPr>
        <w:spacing w:after="0" w:line="105" w:lineRule="exact"/>
        <w:rPr>
          <w:sz w:val="20"/>
          <w:szCs w:val="20"/>
          <w:color w:val="auto"/>
        </w:rPr>
      </w:pPr>
    </w:p>
    <w:p>
      <w:pPr>
        <w:ind w:right="160" w:firstLine="391"/>
        <w:spacing w:after="0" w:line="253" w:lineRule="auto"/>
        <w:rPr>
          <w:sz w:val="20"/>
          <w:szCs w:val="20"/>
          <w:color w:val="auto"/>
        </w:rPr>
      </w:pPr>
      <w:r>
        <w:rPr>
          <w:rFonts w:ascii="Arial" w:cs="Arial" w:eastAsia="Arial" w:hAnsi="Arial"/>
          <w:sz w:val="16"/>
          <w:szCs w:val="16"/>
          <w:color w:val="auto"/>
        </w:rPr>
        <w:t>The following table summarizes the components of lease revenue recognized during the years ended December 31, 2022, 2021 and 2020 included within the Company's Consolidated Statements of Operations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Revenue</w:t>
            </w: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2020</w:t>
            </w:r>
          </w:p>
        </w:tc>
      </w:tr>
      <w:tr>
        <w:trPr>
          <w:trHeight w:val="194"/>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contractual payments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2,426,007</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2,319,362</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2,211,915</w:t>
            </w:r>
          </w:p>
        </w:tc>
      </w:tr>
      <w:tr>
        <w:trPr>
          <w:trHeight w:val="201"/>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payments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492,361</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433,652</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434,346</w:t>
            </w:r>
          </w:p>
        </w:tc>
      </w:tr>
      <w:tr>
        <w:trPr>
          <w:trHeight w:val="218"/>
        </w:trPr>
        <w:tc>
          <w:tcPr>
            <w:tcW w:w="4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2,918,368</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2,753,014</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2,646,261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356"/>
        <w:spacing w:after="0" w:line="253" w:lineRule="auto"/>
        <w:rPr>
          <w:sz w:val="20"/>
          <w:szCs w:val="20"/>
          <w:color w:val="auto"/>
        </w:rPr>
      </w:pPr>
      <w:r>
        <w:rPr>
          <w:rFonts w:ascii="Arial" w:cs="Arial" w:eastAsia="Arial" w:hAnsi="Arial"/>
          <w:sz w:val="16"/>
          <w:szCs w:val="16"/>
          <w:color w:val="auto"/>
        </w:rPr>
        <w:t>The future contractual lease payments to be received (excluding operating expense reimbursements and percentage rent) by the Company as of December 31, 2022, under non-cancelable operating leases which expire on various dates through 2049 (in thousands):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Ending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860" w:type="dxa"/>
            <w:vAlign w:val="bottom"/>
            <w:tcBorders>
              <w:top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2,338,610</w:t>
            </w:r>
          </w:p>
        </w:tc>
      </w:tr>
      <w:tr>
        <w:trPr>
          <w:trHeight w:val="201"/>
        </w:trPr>
        <w:tc>
          <w:tcPr>
            <w:tcW w:w="5060" w:type="dxa"/>
            <w:vAlign w:val="bottom"/>
          </w:tcPr>
          <w:p>
            <w:pPr>
              <w:ind w:left="20"/>
              <w:spacing w:after="0"/>
              <w:rPr>
                <w:sz w:val="20"/>
                <w:szCs w:val="20"/>
                <w:color w:val="auto"/>
              </w:rPr>
            </w:pPr>
            <w:r>
              <w:rPr>
                <w:rFonts w:ascii="Arial" w:cs="Arial" w:eastAsia="Arial" w:hAnsi="Arial"/>
                <w:sz w:val="16"/>
                <w:szCs w:val="16"/>
                <w:color w:val="auto"/>
              </w:rPr>
              <w:t>2024</w:t>
            </w:r>
          </w:p>
        </w:tc>
        <w:tc>
          <w:tcPr>
            <w:tcW w:w="486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2,321,135</w:t>
            </w:r>
          </w:p>
        </w:tc>
      </w:tr>
      <w:tr>
        <w:trPr>
          <w:trHeight w:val="20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2,279,700</w:t>
            </w:r>
          </w:p>
        </w:tc>
      </w:tr>
      <w:tr>
        <w:trPr>
          <w:trHeight w:val="201"/>
        </w:trPr>
        <w:tc>
          <w:tcPr>
            <w:tcW w:w="5060" w:type="dxa"/>
            <w:vAlign w:val="bottom"/>
          </w:tcPr>
          <w:p>
            <w:pPr>
              <w:ind w:left="20"/>
              <w:spacing w:after="0"/>
              <w:rPr>
                <w:sz w:val="20"/>
                <w:szCs w:val="20"/>
                <w:color w:val="auto"/>
              </w:rPr>
            </w:pPr>
            <w:r>
              <w:rPr>
                <w:rFonts w:ascii="Arial" w:cs="Arial" w:eastAsia="Arial" w:hAnsi="Arial"/>
                <w:sz w:val="16"/>
                <w:szCs w:val="16"/>
                <w:color w:val="auto"/>
              </w:rPr>
              <w:t>2026</w:t>
            </w:r>
          </w:p>
        </w:tc>
        <w:tc>
          <w:tcPr>
            <w:tcW w:w="486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2,212,455</w:t>
            </w:r>
          </w:p>
        </w:tc>
      </w:tr>
      <w:tr>
        <w:trPr>
          <w:trHeight w:val="20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8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2,094,014</w:t>
            </w:r>
          </w:p>
        </w:tc>
      </w:tr>
      <w:tr>
        <w:trPr>
          <w:trHeight w:val="200"/>
        </w:trPr>
        <w:tc>
          <w:tcPr>
            <w:tcW w:w="50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86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13,020,102</w:t>
            </w:r>
          </w:p>
        </w:tc>
      </w:tr>
    </w:tbl>
    <w:p>
      <w:pPr>
        <w:spacing w:after="0" w:line="2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single tenant represented more than 10.0% of the Company’s total lease revenue for the years ended December 31, 2022, 2021 and 2020.</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Sales-type Lease</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July 29, 2020, the Company entered into a 99-year ground lease with a third-party hotel developer for land at its Reston Next property located in Reston, Virginia, which will support the development of a 267-room, approximately 241,000 square foot hotel property. The lease commenced on October 21, 2020 and upon commencement, the Company performed classification testing. The ground lease was subject to termination rights and as of the lease commencement date, the Company was not reasonably certain that those termination rights would not be exercised. As such, the Company accounted for the ground lease as an operating lease. On December 19, 2022, the Company amended the ground lease which included the elimination of the termination rights. As a result, this lease was reclassified as a sales-type lease.</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 recorded a sales-type lease receivable of approximately $13.0 million, which includes an unguaranteed residual asset of approximately</w:t>
      </w:r>
    </w:p>
    <w:p>
      <w:pPr>
        <w:spacing w:after="0" w:line="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$17,000. The sales-type lease receivable was measured as the present value of the fixed and determinable lease payments, including the unguaranteed residual value of the asset at the end of the lease, discounted at the rate implicit in the lease.</w:t>
      </w:r>
    </w:p>
    <w:p>
      <w:pPr>
        <w:spacing w:after="0" w:line="134" w:lineRule="exact"/>
        <w:rPr>
          <w:sz w:val="20"/>
          <w:szCs w:val="20"/>
          <w:color w:val="auto"/>
        </w:rPr>
      </w:pPr>
    </w:p>
    <w:p>
      <w:pPr>
        <w:ind w:right="120" w:firstLine="391"/>
        <w:spacing w:after="0" w:line="253" w:lineRule="auto"/>
        <w:rPr>
          <w:sz w:val="20"/>
          <w:szCs w:val="20"/>
          <w:color w:val="auto"/>
        </w:rPr>
      </w:pPr>
      <w:r>
        <w:rPr>
          <w:rFonts w:ascii="Arial" w:cs="Arial" w:eastAsia="Arial" w:hAnsi="Arial"/>
          <w:sz w:val="16"/>
          <w:szCs w:val="16"/>
          <w:color w:val="auto"/>
        </w:rPr>
        <w:t>In addition, the Company recorded a gain on sales-type lease of approximately $10.1 million associated with the derecognition of the asset. The Company did not recognize any interest income during the year ended December 31, 2022.</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the future contractual payments to be received as of December 31, 2022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4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Sales-Type</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140" w:type="dxa"/>
            <w:vAlign w:val="bottom"/>
          </w:tcPr>
          <w:p>
            <w:pPr>
              <w:ind w:left="20"/>
              <w:spacing w:after="0"/>
              <w:rPr>
                <w:sz w:val="20"/>
                <w:szCs w:val="20"/>
                <w:color w:val="auto"/>
              </w:rPr>
            </w:pPr>
            <w:r>
              <w:rPr>
                <w:rFonts w:ascii="Arial" w:cs="Arial" w:eastAsia="Arial" w:hAnsi="Arial"/>
                <w:sz w:val="16"/>
                <w:szCs w:val="16"/>
                <w:color w:val="auto"/>
              </w:rPr>
              <w:t>2024</w:t>
            </w:r>
          </w:p>
        </w:tc>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1"/>
        </w:trPr>
        <w:tc>
          <w:tcPr>
            <w:tcW w:w="4140" w:type="dxa"/>
            <w:vAlign w:val="bottom"/>
          </w:tcPr>
          <w:p>
            <w:pPr>
              <w:ind w:left="20"/>
              <w:spacing w:after="0"/>
              <w:rPr>
                <w:sz w:val="20"/>
                <w:szCs w:val="20"/>
                <w:color w:val="auto"/>
              </w:rPr>
            </w:pPr>
            <w:r>
              <w:rPr>
                <w:rFonts w:ascii="Arial" w:cs="Arial" w:eastAsia="Arial" w:hAnsi="Arial"/>
                <w:sz w:val="16"/>
                <w:szCs w:val="16"/>
                <w:color w:val="auto"/>
              </w:rPr>
              <w:t>2026</w:t>
            </w:r>
          </w:p>
        </w:tc>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268,249</w:t>
            </w:r>
          </w:p>
        </w:tc>
        <w:tc>
          <w:tcPr>
            <w:tcW w:w="0" w:type="dxa"/>
            <w:vAlign w:val="bottom"/>
          </w:tcPr>
          <w:p>
            <w:pPr>
              <w:spacing w:after="0"/>
              <w:rPr>
                <w:sz w:val="1"/>
                <w:szCs w:val="1"/>
                <w:color w:val="auto"/>
              </w:rPr>
            </w:pPr>
          </w:p>
        </w:tc>
      </w:tr>
      <w:tr>
        <w:trPr>
          <w:trHeight w:val="194"/>
        </w:trPr>
        <w:tc>
          <w:tcPr>
            <w:tcW w:w="41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lease payments to be received</w:t>
            </w:r>
          </w:p>
        </w:tc>
        <w:tc>
          <w:tcPr>
            <w:tcW w:w="5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269,532</w:t>
            </w:r>
          </w:p>
        </w:tc>
        <w:tc>
          <w:tcPr>
            <w:tcW w:w="0" w:type="dxa"/>
            <w:vAlign w:val="bottom"/>
          </w:tcPr>
          <w:p>
            <w:pPr>
              <w:spacing w:after="0"/>
              <w:rPr>
                <w:sz w:val="1"/>
                <w:szCs w:val="1"/>
                <w:color w:val="auto"/>
              </w:rPr>
            </w:pPr>
          </w:p>
        </w:tc>
      </w:tr>
      <w:tr>
        <w:trPr>
          <w:trHeight w:val="201"/>
        </w:trPr>
        <w:tc>
          <w:tcPr>
            <w:tcW w:w="4140" w:type="dxa"/>
            <w:vAlign w:val="bottom"/>
          </w:tcPr>
          <w:p>
            <w:pPr>
              <w:ind w:left="20"/>
              <w:spacing w:after="0"/>
              <w:rPr>
                <w:sz w:val="20"/>
                <w:szCs w:val="20"/>
                <w:color w:val="auto"/>
              </w:rPr>
            </w:pPr>
            <w:r>
              <w:rPr>
                <w:rFonts w:ascii="Arial" w:cs="Arial" w:eastAsia="Arial" w:hAnsi="Arial"/>
                <w:sz w:val="16"/>
                <w:szCs w:val="16"/>
                <w:color w:val="auto"/>
              </w:rPr>
              <w:t>Less:</w:t>
            </w:r>
          </w:p>
        </w:tc>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5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256,504</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line="180" w:lineRule="exact"/>
              <w:rPr>
                <w:sz w:val="20"/>
                <w:szCs w:val="20"/>
                <w:color w:val="auto"/>
              </w:rPr>
            </w:pPr>
            <w:r>
              <w:rPr>
                <w:rFonts w:ascii="Arial" w:cs="Arial" w:eastAsia="Arial" w:hAnsi="Arial"/>
                <w:sz w:val="16"/>
                <w:szCs w:val="16"/>
                <w:color w:val="auto"/>
              </w:rPr>
              <w:t>Sales-type lease receivable</w:t>
            </w:r>
          </w:p>
        </w:tc>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13,028</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Unguaranteed residual asset</w:t>
            </w:r>
          </w:p>
        </w:tc>
        <w:tc>
          <w:tcPr>
            <w:tcW w:w="5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expected credit loss adjustment</w:t>
            </w:r>
          </w:p>
        </w:tc>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Sales-type lease receivable, net</w:t>
            </w:r>
          </w:p>
        </w:tc>
        <w:tc>
          <w:tcPr>
            <w:tcW w:w="5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12,811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01"/>
              <w:spacing w:after="0"/>
              <w:rPr>
                <w:sz w:val="20"/>
                <w:szCs w:val="20"/>
                <w:color w:val="auto"/>
              </w:rPr>
            </w:pPr>
            <w:r>
              <w:rPr>
                <w:rFonts w:ascii="Arial" w:cs="Arial" w:eastAsia="Arial" w:hAnsi="Arial"/>
                <w:sz w:val="16"/>
                <w:szCs w:val="16"/>
                <w:color w:val="auto"/>
              </w:rPr>
              <w:t>149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41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40" w:type="dxa"/>
            <w:vAlign w:val="bottom"/>
            <w:tcBorders>
              <w:bottom w:val="single" w:sz="8" w:color="9A9A9A"/>
            </w:tcBorders>
          </w:tcPr>
          <w:p>
            <w:pPr>
              <w:spacing w:after="0"/>
              <w:rPr>
                <w:sz w:val="8"/>
                <w:szCs w:val="8"/>
                <w:color w:val="auto"/>
              </w:rPr>
            </w:pPr>
          </w:p>
        </w:tc>
        <w:tc>
          <w:tcPr>
            <w:tcW w:w="5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Deferred Charges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charges consisted of the following at December 31, 2022 and 2021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170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1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Leasing costs, including lease related intangibles</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1,095,231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1,011,229</w:t>
            </w:r>
          </w:p>
        </w:tc>
      </w:tr>
      <w:tr>
        <w:trPr>
          <w:trHeight w:val="20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costs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19,231</w:t>
            </w:r>
          </w:p>
        </w:tc>
      </w:tr>
      <w:tr>
        <w:trPr>
          <w:trHeight w:val="194"/>
        </w:trPr>
        <w:tc>
          <w:tcPr>
            <w:tcW w:w="7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1,114,542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1,030,460</w:t>
            </w:r>
          </w:p>
        </w:tc>
      </w:tr>
      <w:tr>
        <w:trPr>
          <w:trHeight w:val="20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(381,260)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(411,662)</w:t>
            </w:r>
          </w:p>
        </w:tc>
      </w:tr>
      <w:tr>
        <w:trPr>
          <w:trHeight w:val="218"/>
        </w:trPr>
        <w:tc>
          <w:tcPr>
            <w:tcW w:w="7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733,282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618,798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391"/>
        <w:spacing w:after="0" w:line="253" w:lineRule="auto"/>
        <w:rPr>
          <w:sz w:val="20"/>
          <w:szCs w:val="20"/>
          <w:color w:val="auto"/>
        </w:rPr>
      </w:pPr>
      <w:r>
        <w:rPr>
          <w:rFonts w:ascii="Arial" w:cs="Arial" w:eastAsia="Arial" w:hAnsi="Arial"/>
          <w:sz w:val="16"/>
          <w:szCs w:val="16"/>
          <w:color w:val="auto"/>
        </w:rPr>
        <w:t>The following table summarizes the scheduled amortization of the Company’s acquired in-place lease intangibles for each of the five succeeding years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jc w:val="right"/>
              <w:ind w:right="283"/>
              <w:spacing w:after="0"/>
              <w:rPr>
                <w:sz w:val="20"/>
                <w:szCs w:val="20"/>
                <w:color w:val="auto"/>
              </w:rPr>
            </w:pPr>
            <w:r>
              <w:rPr>
                <w:rFonts w:ascii="Arial" w:cs="Arial" w:eastAsia="Arial" w:hAnsi="Arial"/>
                <w:sz w:val="14"/>
                <w:szCs w:val="14"/>
                <w:b w:val="1"/>
                <w:bCs w:val="1"/>
                <w:color w:val="auto"/>
              </w:rPr>
              <w:t>Acquired In-Place Lease</w:t>
            </w:r>
          </w:p>
        </w:tc>
      </w:tr>
      <w:tr>
        <w:trPr>
          <w:trHeight w:val="189"/>
        </w:trPr>
        <w:tc>
          <w:tcPr>
            <w:tcW w:w="292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Intangibles</w:t>
            </w:r>
          </w:p>
        </w:tc>
      </w:tr>
      <w:tr>
        <w:trPr>
          <w:trHeight w:val="194"/>
        </w:trPr>
        <w:tc>
          <w:tcPr>
            <w:tcW w:w="2920" w:type="dxa"/>
            <w:vAlign w:val="bottom"/>
            <w:shd w:val="clear" w:color="auto" w:fill="CCEEFF"/>
          </w:tcPr>
          <w:p>
            <w:pPr>
              <w:jc w:val="right"/>
              <w:ind w:right="2481"/>
              <w:spacing w:after="0"/>
              <w:rPr>
                <w:sz w:val="20"/>
                <w:szCs w:val="20"/>
                <w:color w:val="auto"/>
              </w:rPr>
            </w:pPr>
            <w:r>
              <w:rPr>
                <w:rFonts w:ascii="Arial" w:cs="Arial" w:eastAsia="Arial" w:hAnsi="Arial"/>
                <w:sz w:val="16"/>
                <w:szCs w:val="16"/>
                <w:color w:val="auto"/>
                <w:w w:val="95"/>
              </w:rPr>
              <w:t>2023</w:t>
            </w:r>
          </w:p>
        </w:tc>
        <w:tc>
          <w:tcPr>
            <w:tcW w:w="6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27,659</w:t>
            </w:r>
          </w:p>
        </w:tc>
      </w:tr>
      <w:tr>
        <w:trPr>
          <w:trHeight w:val="201"/>
        </w:trPr>
        <w:tc>
          <w:tcPr>
            <w:tcW w:w="2920" w:type="dxa"/>
            <w:vAlign w:val="bottom"/>
          </w:tcPr>
          <w:p>
            <w:pPr>
              <w:jc w:val="right"/>
              <w:ind w:right="2481"/>
              <w:spacing w:after="0"/>
              <w:rPr>
                <w:sz w:val="20"/>
                <w:szCs w:val="20"/>
                <w:color w:val="auto"/>
              </w:rPr>
            </w:pPr>
            <w:r>
              <w:rPr>
                <w:rFonts w:ascii="Arial" w:cs="Arial" w:eastAsia="Arial" w:hAnsi="Arial"/>
                <w:sz w:val="16"/>
                <w:szCs w:val="16"/>
                <w:color w:val="auto"/>
                <w:w w:val="95"/>
              </w:rPr>
              <w:t>2024</w:t>
            </w: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jc w:val="right"/>
              <w:ind w:right="3"/>
              <w:spacing w:after="0"/>
              <w:rPr>
                <w:sz w:val="20"/>
                <w:szCs w:val="20"/>
                <w:color w:val="auto"/>
              </w:rPr>
            </w:pPr>
            <w:r>
              <w:rPr>
                <w:rFonts w:ascii="Arial" w:cs="Arial" w:eastAsia="Arial" w:hAnsi="Arial"/>
                <w:sz w:val="16"/>
                <w:szCs w:val="16"/>
                <w:color w:val="auto"/>
              </w:rPr>
              <w:t>21,595</w:t>
            </w:r>
          </w:p>
        </w:tc>
      </w:tr>
      <w:tr>
        <w:trPr>
          <w:trHeight w:val="202"/>
        </w:trPr>
        <w:tc>
          <w:tcPr>
            <w:tcW w:w="2920" w:type="dxa"/>
            <w:vAlign w:val="bottom"/>
            <w:shd w:val="clear" w:color="auto" w:fill="CCEEFF"/>
          </w:tcPr>
          <w:p>
            <w:pPr>
              <w:jc w:val="right"/>
              <w:ind w:right="2481"/>
              <w:spacing w:after="0"/>
              <w:rPr>
                <w:sz w:val="20"/>
                <w:szCs w:val="20"/>
                <w:color w:val="auto"/>
              </w:rPr>
            </w:pPr>
            <w:r>
              <w:rPr>
                <w:rFonts w:ascii="Arial" w:cs="Arial" w:eastAsia="Arial" w:hAnsi="Arial"/>
                <w:sz w:val="16"/>
                <w:szCs w:val="16"/>
                <w:color w:val="auto"/>
                <w:w w:val="95"/>
              </w:rPr>
              <w:t>2025</w:t>
            </w: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21,419</w:t>
            </w:r>
          </w:p>
        </w:tc>
      </w:tr>
      <w:tr>
        <w:trPr>
          <w:trHeight w:val="201"/>
        </w:trPr>
        <w:tc>
          <w:tcPr>
            <w:tcW w:w="2920" w:type="dxa"/>
            <w:vAlign w:val="bottom"/>
          </w:tcPr>
          <w:p>
            <w:pPr>
              <w:jc w:val="right"/>
              <w:ind w:right="2481"/>
              <w:spacing w:after="0"/>
              <w:rPr>
                <w:sz w:val="20"/>
                <w:szCs w:val="20"/>
                <w:color w:val="auto"/>
              </w:rPr>
            </w:pPr>
            <w:r>
              <w:rPr>
                <w:rFonts w:ascii="Arial" w:cs="Arial" w:eastAsia="Arial" w:hAnsi="Arial"/>
                <w:sz w:val="16"/>
                <w:szCs w:val="16"/>
                <w:color w:val="auto"/>
                <w:w w:val="95"/>
              </w:rPr>
              <w:t>2026</w:t>
            </w: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jc w:val="right"/>
              <w:ind w:right="3"/>
              <w:spacing w:after="0"/>
              <w:rPr>
                <w:sz w:val="20"/>
                <w:szCs w:val="20"/>
                <w:color w:val="auto"/>
              </w:rPr>
            </w:pPr>
            <w:r>
              <w:rPr>
                <w:rFonts w:ascii="Arial" w:cs="Arial" w:eastAsia="Arial" w:hAnsi="Arial"/>
                <w:sz w:val="16"/>
                <w:szCs w:val="16"/>
                <w:color w:val="auto"/>
              </w:rPr>
              <w:t>20,571</w:t>
            </w:r>
          </w:p>
        </w:tc>
      </w:tr>
      <w:tr>
        <w:trPr>
          <w:trHeight w:val="202"/>
        </w:trPr>
        <w:tc>
          <w:tcPr>
            <w:tcW w:w="2920" w:type="dxa"/>
            <w:vAlign w:val="bottom"/>
            <w:shd w:val="clear" w:color="auto" w:fill="CCEEFF"/>
          </w:tcPr>
          <w:p>
            <w:pPr>
              <w:jc w:val="right"/>
              <w:ind w:right="2481"/>
              <w:spacing w:after="0"/>
              <w:rPr>
                <w:sz w:val="20"/>
                <w:szCs w:val="20"/>
                <w:color w:val="auto"/>
              </w:rPr>
            </w:pPr>
            <w:r>
              <w:rPr>
                <w:rFonts w:ascii="Arial" w:cs="Arial" w:eastAsia="Arial" w:hAnsi="Arial"/>
                <w:sz w:val="16"/>
                <w:szCs w:val="16"/>
                <w:color w:val="auto"/>
                <w:w w:val="95"/>
              </w:rPr>
              <w:t>2027</w:t>
            </w: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18,214</w:t>
            </w:r>
          </w:p>
        </w:tc>
      </w:tr>
      <w:tr>
        <w:trPr>
          <w:trHeight w:val="840"/>
        </w:trPr>
        <w:tc>
          <w:tcPr>
            <w:tcW w:w="2920" w:type="dxa"/>
            <w:vAlign w:val="bottom"/>
          </w:tcPr>
          <w:p>
            <w:pPr>
              <w:spacing w:after="0"/>
              <w:rPr>
                <w:sz w:val="24"/>
                <w:szCs w:val="24"/>
                <w:color w:val="auto"/>
              </w:rPr>
            </w:pPr>
          </w:p>
        </w:tc>
        <w:tc>
          <w:tcPr>
            <w:tcW w:w="5980" w:type="dxa"/>
            <w:vAlign w:val="bottom"/>
          </w:tcPr>
          <w:p>
            <w:pPr>
              <w:jc w:val="right"/>
              <w:ind w:right="3061"/>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00"/>
        </w:trPr>
        <w:tc>
          <w:tcPr>
            <w:tcW w:w="292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Investments in Unconsolidated Joint Ventures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investments in unconsolidated joint ventures consist of the following at December 31, 2022 and December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3"/>
                <w:szCs w:val="13"/>
                <w:b w:val="1"/>
                <w:bCs w:val="1"/>
                <w:color w:val="auto"/>
              </w:rPr>
              <w:t>Carrying Value of Investment (1)</w:t>
            </w:r>
          </w:p>
        </w:tc>
        <w:tc>
          <w:tcPr>
            <w:tcW w:w="0" w:type="dxa"/>
            <w:vAlign w:val="bottom"/>
          </w:tcPr>
          <w:p>
            <w:pPr>
              <w:spacing w:after="0"/>
              <w:rPr>
                <w:sz w:val="1"/>
                <w:szCs w:val="1"/>
                <w:color w:val="auto"/>
              </w:rPr>
            </w:pPr>
          </w:p>
        </w:tc>
      </w:tr>
      <w:tr>
        <w:trPr>
          <w:trHeight w:val="119"/>
        </w:trPr>
        <w:tc>
          <w:tcPr>
            <w:tcW w:w="33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Entity</w:t>
            </w:r>
          </w:p>
        </w:tc>
        <w:tc>
          <w:tcPr>
            <w:tcW w:w="3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1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Nominal %</w:t>
            </w: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0"/>
                <w:szCs w:val="10"/>
                <w:color w:val="auto"/>
              </w:rPr>
            </w:pPr>
          </w:p>
        </w:tc>
        <w:tc>
          <w:tcPr>
            <w:tcW w:w="128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5"/>
              </w:rPr>
              <w:t>December 31, 2021</w:t>
            </w:r>
          </w:p>
        </w:tc>
        <w:tc>
          <w:tcPr>
            <w:tcW w:w="0" w:type="dxa"/>
            <w:vAlign w:val="bottom"/>
          </w:tcPr>
          <w:p>
            <w:pPr>
              <w:spacing w:after="0"/>
              <w:rPr>
                <w:sz w:val="1"/>
                <w:szCs w:val="1"/>
                <w:color w:val="auto"/>
              </w:rPr>
            </w:pPr>
          </w:p>
        </w:tc>
      </w:tr>
      <w:tr>
        <w:trPr>
          <w:trHeight w:val="166"/>
        </w:trPr>
        <w:tc>
          <w:tcPr>
            <w:tcW w:w="3380" w:type="dxa"/>
            <w:vAlign w:val="bottom"/>
            <w:gridSpan w:val="3"/>
            <w:vMerge w:val="continue"/>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Ownership</w:t>
            </w: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 w:type="dxa"/>
            <w:vAlign w:val="bottom"/>
            <w:tcBorders>
              <w:top w:val="single" w:sz="8" w:color="auto"/>
            </w:tcBorders>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4"/>
          </w:tcPr>
          <w:p>
            <w:pPr>
              <w:jc w:val="right"/>
              <w:ind w:right="1009"/>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4"/>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Square 407 Limited Partnership</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Market Square North</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(6,198)</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BP/CRF Metropolitan Square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Metropolitan Square</w:t>
            </w:r>
          </w:p>
        </w:tc>
        <w:tc>
          <w:tcPr>
            <w:tcW w:w="1220" w:type="dxa"/>
            <w:vAlign w:val="bottom"/>
          </w:tcPr>
          <w:p>
            <w:pPr>
              <w:ind w:left="680"/>
              <w:spacing w:after="0"/>
              <w:rPr>
                <w:sz w:val="20"/>
                <w:szCs w:val="20"/>
                <w:color w:val="auto"/>
              </w:rPr>
            </w:pPr>
            <w:r>
              <w:rPr>
                <w:rFonts w:ascii="Arial" w:cs="Arial" w:eastAsia="Arial" w:hAnsi="Arial"/>
                <w:sz w:val="14"/>
                <w:szCs w:val="14"/>
                <w:color w:val="auto"/>
              </w:rPr>
              <w:t>20.00 %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(37,629)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(15,356)</w:t>
            </w:r>
          </w:p>
        </w:tc>
        <w:tc>
          <w:tcPr>
            <w:tcW w:w="0" w:type="dxa"/>
            <w:vAlign w:val="bottom"/>
          </w:tcPr>
          <w:p>
            <w:pPr>
              <w:spacing w:after="0"/>
              <w:rPr>
                <w:sz w:val="1"/>
                <w:szCs w:val="1"/>
                <w:color w:val="auto"/>
              </w:rPr>
            </w:pPr>
          </w:p>
        </w:tc>
      </w:tr>
      <w:tr>
        <w:trPr>
          <w:trHeight w:val="192"/>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901</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901</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Avenue</w:t>
            </w:r>
          </w:p>
        </w:tc>
        <w:tc>
          <w:tcPr>
            <w:tcW w:w="18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25.00 % (2)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(12,493)</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(12,597)</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WP Project Developer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Wisconsin Place Land and Infrastructure</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33.33 % (3)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31,971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33,732</w:t>
            </w:r>
          </w:p>
        </w:tc>
        <w:tc>
          <w:tcPr>
            <w:tcW w:w="0" w:type="dxa"/>
            <w:vAlign w:val="bottom"/>
          </w:tcPr>
          <w:p>
            <w:pPr>
              <w:spacing w:after="0"/>
              <w:rPr>
                <w:sz w:val="1"/>
                <w:szCs w:val="1"/>
                <w:color w:val="auto"/>
              </w:rPr>
            </w:pPr>
          </w:p>
        </w:tc>
      </w:tr>
      <w:tr>
        <w:trPr>
          <w:trHeight w:val="192"/>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500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Capitol Venture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Capitol Street, NW</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30.00 %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187"/>
        </w:trPr>
        <w:tc>
          <w:tcPr>
            <w:tcW w:w="260" w:type="dxa"/>
            <w:vAlign w:val="bottom"/>
          </w:tcPr>
          <w:p>
            <w:pPr>
              <w:ind w:left="20"/>
              <w:spacing w:after="0"/>
              <w:rPr>
                <w:sz w:val="20"/>
                <w:szCs w:val="20"/>
                <w:color w:val="auto"/>
              </w:rPr>
            </w:pPr>
            <w:r>
              <w:rPr>
                <w:rFonts w:ascii="Arial" w:cs="Arial" w:eastAsia="Arial" w:hAnsi="Arial"/>
                <w:sz w:val="14"/>
                <w:szCs w:val="14"/>
                <w:color w:val="auto"/>
                <w:w w:val="94"/>
              </w:rPr>
              <w:t>501</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K Street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1001 6th Street</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50.00 % (4)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42,922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42,576</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Podium Developer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Hub on Causeway - Podium</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48,980</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Residential Tower Developer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Hub50House</w:t>
            </w:r>
          </w:p>
        </w:tc>
        <w:tc>
          <w:tcPr>
            <w:tcW w:w="1220" w:type="dxa"/>
            <w:vAlign w:val="bottom"/>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45,414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47,774</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Hotel Tower Developer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Hub on Causeway - Hotel Air Rights</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11,505</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Office Tower Developer LLC</w:t>
            </w:r>
          </w:p>
        </w:tc>
        <w:tc>
          <w:tcPr>
            <w:tcW w:w="280" w:type="dxa"/>
            <w:vAlign w:val="bottom"/>
          </w:tcPr>
          <w:p>
            <w:pPr>
              <w:ind w:left="20"/>
              <w:spacing w:after="0"/>
              <w:rPr>
                <w:sz w:val="20"/>
                <w:szCs w:val="20"/>
                <w:color w:val="auto"/>
              </w:rPr>
            </w:pPr>
            <w:r>
              <w:rPr>
                <w:rFonts w:ascii="Arial" w:cs="Arial" w:eastAsia="Arial" w:hAnsi="Arial"/>
                <w:sz w:val="14"/>
                <w:szCs w:val="14"/>
                <w:color w:val="auto"/>
              </w:rPr>
              <w:t>100</w:t>
            </w: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Causeway Street</w:t>
            </w:r>
          </w:p>
        </w:tc>
        <w:tc>
          <w:tcPr>
            <w:tcW w:w="1220" w:type="dxa"/>
            <w:vAlign w:val="bottom"/>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59,716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57,687</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1265 Main Office JV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BNY Tower Holdings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Dock 72</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50.00 % (5)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(19,921)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28,412</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CA-Colorado Center,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Colorado Center</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233,862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231,479</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7750 Wisconsin Avenue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7750 Wisconsin Avenue</w:t>
            </w:r>
          </w:p>
        </w:tc>
        <w:tc>
          <w:tcPr>
            <w:tcW w:w="1220" w:type="dxa"/>
            <w:vAlign w:val="bottom"/>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52,152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61,626</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BP-M 3HB Venture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3 Hudson Boulevard</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25.00 %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116,397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116,306</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SMBP Venture LP</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Santa Monica Business Park</w:t>
            </w:r>
          </w:p>
        </w:tc>
        <w:tc>
          <w:tcPr>
            <w:tcW w:w="1220" w:type="dxa"/>
            <w:vAlign w:val="bottom"/>
          </w:tcPr>
          <w:p>
            <w:pPr>
              <w:ind w:left="680"/>
              <w:spacing w:after="0"/>
              <w:rPr>
                <w:sz w:val="20"/>
                <w:szCs w:val="20"/>
                <w:color w:val="auto"/>
              </w:rPr>
            </w:pPr>
            <w:r>
              <w:rPr>
                <w:rFonts w:ascii="Arial" w:cs="Arial" w:eastAsia="Arial" w:hAnsi="Arial"/>
                <w:sz w:val="14"/>
                <w:szCs w:val="14"/>
                <w:color w:val="auto"/>
              </w:rPr>
              <w:t>55.00 %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164,735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156,639</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Platform 16 Holdings LP</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Platform 16</w:t>
            </w:r>
          </w:p>
        </w:tc>
        <w:tc>
          <w:tcPr>
            <w:tcW w:w="18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55.00 % (6)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158,109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109,086</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Gateway Portfolio Holdings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Gateway Commons</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50.00 % (7)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324,038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327,148</w:t>
            </w: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Rosecrans-Sepulveda Partners 4, LLC</w:t>
            </w: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Beach Cities Media Campus</w:t>
            </w:r>
          </w:p>
        </w:tc>
        <w:tc>
          <w:tcPr>
            <w:tcW w:w="1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50.00 %</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27,106</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Safeco Plaza REIT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Safeco Plaza</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33.67 % (8)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69,785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72,545</w:t>
            </w:r>
          </w:p>
        </w:tc>
        <w:tc>
          <w:tcPr>
            <w:tcW w:w="0" w:type="dxa"/>
            <w:vAlign w:val="bottom"/>
          </w:tcPr>
          <w:p>
            <w:pPr>
              <w:spacing w:after="0"/>
              <w:rPr>
                <w:sz w:val="1"/>
                <w:szCs w:val="1"/>
                <w:color w:val="auto"/>
              </w:rPr>
            </w:pPr>
          </w:p>
        </w:tc>
      </w:tr>
      <w:tr>
        <w:trPr>
          <w:trHeight w:val="192"/>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360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PAS Holdco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360</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Park Avenue South</w:t>
            </w:r>
          </w:p>
        </w:tc>
        <w:tc>
          <w:tcPr>
            <w:tcW w:w="18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42.21 % (9)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114,992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106,855</w:t>
            </w:r>
          </w:p>
        </w:tc>
        <w:tc>
          <w:tcPr>
            <w:tcW w:w="0" w:type="dxa"/>
            <w:vAlign w:val="bottom"/>
          </w:tcPr>
          <w:p>
            <w:pPr>
              <w:spacing w:after="0"/>
              <w:rPr>
                <w:sz w:val="1"/>
                <w:szCs w:val="1"/>
                <w:color w:val="auto"/>
              </w:rPr>
            </w:pPr>
          </w:p>
        </w:tc>
      </w:tr>
      <w:tr>
        <w:trPr>
          <w:trHeight w:val="187"/>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PR II/BXP Reston Gateway LLC</w:t>
            </w:r>
          </w:p>
        </w:tc>
        <w:tc>
          <w:tcPr>
            <w:tcW w:w="3020" w:type="dxa"/>
            <w:vAlign w:val="bottom"/>
            <w:gridSpan w:val="3"/>
          </w:tcPr>
          <w:p>
            <w:pPr>
              <w:ind w:left="20"/>
              <w:spacing w:after="0"/>
              <w:rPr>
                <w:sz w:val="20"/>
                <w:szCs w:val="20"/>
                <w:color w:val="auto"/>
              </w:rPr>
            </w:pPr>
            <w:r>
              <w:rPr>
                <w:rFonts w:ascii="Arial" w:cs="Arial" w:eastAsia="Arial" w:hAnsi="Arial"/>
                <w:sz w:val="14"/>
                <w:szCs w:val="14"/>
                <w:color w:val="auto"/>
              </w:rPr>
              <w:t>Reston Next Residential</w:t>
            </w:r>
          </w:p>
        </w:tc>
        <w:tc>
          <w:tcPr>
            <w:tcW w:w="1820" w:type="dxa"/>
            <w:vAlign w:val="bottom"/>
            <w:gridSpan w:val="2"/>
          </w:tcPr>
          <w:p>
            <w:pPr>
              <w:ind w:left="680"/>
              <w:spacing w:after="0"/>
              <w:rPr>
                <w:sz w:val="20"/>
                <w:szCs w:val="20"/>
                <w:color w:val="auto"/>
              </w:rPr>
            </w:pPr>
            <w:r>
              <w:rPr>
                <w:rFonts w:ascii="Arial" w:cs="Arial" w:eastAsia="Arial" w:hAnsi="Arial"/>
                <w:sz w:val="14"/>
                <w:szCs w:val="14"/>
                <w:color w:val="auto"/>
              </w:rPr>
              <w:t>20.00 % (10)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11,351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751</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Gateway Holdings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751</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Gateway</w:t>
            </w:r>
          </w:p>
        </w:tc>
        <w:tc>
          <w:tcPr>
            <w:tcW w:w="18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49.00 % (7)</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80,714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7"/>
        </w:trPr>
        <w:tc>
          <w:tcPr>
            <w:tcW w:w="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4"/>
              </w:rPr>
              <w:t>200</w:t>
            </w:r>
          </w:p>
        </w:tc>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Fifth Avenue JV LLC</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200</w:t>
            </w:r>
          </w:p>
        </w:tc>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Fifth Avenue</w:t>
            </w:r>
          </w:p>
        </w:tc>
        <w:tc>
          <w:tcPr>
            <w:tcW w:w="12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26.69 %</w:t>
            </w: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120,083</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26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1,630,485</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1,445,926</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20" w:right="420" w:hanging="283"/>
        <w:spacing w:after="0" w:line="256"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Investments with deficit balances aggregating approximately $85.4 million and $37.1 million at December 31, 2022 and December 31, 2021, respectively, are included within Other Liabilities in the Company’s Consolidated Balance Sheets.</w:t>
      </w:r>
    </w:p>
    <w:p>
      <w:pPr>
        <w:ind w:left="420" w:right="60" w:hanging="283"/>
        <w:spacing w:after="0" w:line="256"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Company’s economic ownership has increased based on the achievement of certain return thresholds. At December 31, 2022 and December 31, 2021, the Company’s economic ownership was approximately 50%.</w:t>
      </w:r>
    </w:p>
    <w:p>
      <w:pPr>
        <w:ind w:left="420" w:right="240" w:hanging="283"/>
        <w:spacing w:after="0" w:line="256"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Company’s wholly-owned subsidiary that owns Wisconsin Place Office also owns a 33.33% interest in the joint venture entity that owns the land, parking garage and infrastructure of the project.</w:t>
      </w:r>
    </w:p>
    <w:p>
      <w:pPr>
        <w:ind w:left="420" w:right="400" w:hanging="283"/>
        <w:spacing w:after="0" w:line="247"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Under the joint venture agreement for this land parcel, the partner will be entitled to up to two additional payments from the venture based on increases in total entitled square footage of the project in excess of 520,000 square feet and achieving certain project returns at stabilization.</w:t>
      </w:r>
    </w:p>
    <w:p>
      <w:pPr>
        <w:ind w:left="420" w:hanging="283"/>
        <w:spacing w:after="0"/>
        <w:tabs>
          <w:tab w:leader="none" w:pos="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This property includes net equity balances from the amenity joint venture.</w:t>
      </w:r>
    </w:p>
    <w:p>
      <w:pPr>
        <w:spacing w:after="0" w:line="16" w:lineRule="exact"/>
        <w:rPr>
          <w:rFonts w:ascii="Arial" w:cs="Arial" w:eastAsia="Arial" w:hAnsi="Arial"/>
          <w:sz w:val="14"/>
          <w:szCs w:val="14"/>
          <w:color w:val="auto"/>
        </w:rPr>
      </w:pPr>
    </w:p>
    <w:p>
      <w:pPr>
        <w:ind w:left="420" w:hanging="283"/>
        <w:spacing w:after="0"/>
        <w:tabs>
          <w:tab w:leader="none" w:pos="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This entity is a VIE (See Note 2).</w:t>
      </w:r>
    </w:p>
    <w:p>
      <w:pPr>
        <w:spacing w:after="0" w:line="4" w:lineRule="exact"/>
        <w:rPr>
          <w:rFonts w:ascii="Arial" w:cs="Arial" w:eastAsia="Arial" w:hAnsi="Arial"/>
          <w:sz w:val="14"/>
          <w:szCs w:val="14"/>
          <w:color w:val="auto"/>
        </w:rPr>
      </w:pPr>
    </w:p>
    <w:p>
      <w:pPr>
        <w:ind w:left="420" w:hanging="283"/>
        <w:spacing w:after="0"/>
        <w:tabs>
          <w:tab w:leader="none" w:pos="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On June 16, 2022, in accordance with the Gateway Commons joint venture agreement, 751 Gateway was segregated into a new single-purpose joint venture.</w:t>
      </w:r>
    </w:p>
    <w:p>
      <w:pPr>
        <w:spacing w:after="0" w:line="16" w:lineRule="exact"/>
        <w:rPr>
          <w:rFonts w:ascii="Arial" w:cs="Arial" w:eastAsia="Arial" w:hAnsi="Arial"/>
          <w:sz w:val="14"/>
          <w:szCs w:val="14"/>
          <w:color w:val="auto"/>
        </w:rPr>
      </w:pPr>
    </w:p>
    <w:p>
      <w:pPr>
        <w:ind w:left="420" w:right="200" w:hanging="283"/>
        <w:spacing w:after="0" w:line="247"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Company’s ownership includes (1) a 33.0% direct interest in the joint venture, and (2) an additional 1% interest in each of the two entities through which each partner owns its interest in the joint venture.</w:t>
      </w:r>
    </w:p>
    <w:p>
      <w:pPr>
        <w:ind w:left="420" w:right="20" w:hanging="283"/>
        <w:spacing w:after="0" w:line="263"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Company’s ownership includes (1) a 35.79% direct interest in the joint venture, (2) an additional 5.837% indirect ownership in the joint venture, and (3) an additional 1% interest in each of the two entities through which each partner owns its interest in the joint venture. The Company’s partners will fund required capital until their aggregate investment is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approximately 58% of all capital contributions; thereafter, the partners will fund required capital according to their percentage interests.</w:t>
      </w:r>
    </w:p>
    <w:p>
      <w:pPr>
        <w:spacing w:after="0" w:line="5" w:lineRule="exact"/>
        <w:rPr>
          <w:sz w:val="20"/>
          <w:szCs w:val="20"/>
          <w:color w:val="auto"/>
        </w:rPr>
      </w:pPr>
    </w:p>
    <w:p>
      <w:pPr>
        <w:ind w:left="420" w:right="240" w:hanging="283"/>
        <w:spacing w:after="0" w:line="279" w:lineRule="auto"/>
        <w:tabs>
          <w:tab w:leader="none" w:pos="41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Company’s partner will fund required capital until its aggregate investment is approximately 80% of all capital contributions; thereafter, the partners will fund required capital according to their percentage interests.</w:t>
      </w:r>
    </w:p>
    <w:p>
      <w:pPr>
        <w:spacing w:after="0" w:line="204"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balance sheets of the Company’s unconsolidated joint ventures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4"/>
          </w:tcPr>
          <w:p>
            <w:pPr>
              <w:jc w:val="right"/>
              <w:ind w:right="120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7720" w:type="dxa"/>
            <w:vAlign w:val="bottom"/>
            <w:shd w:val="clear" w:color="auto" w:fill="CCEEFF"/>
          </w:tcPr>
          <w:p>
            <w:pPr>
              <w:ind w:left="358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Arial" w:cs="Arial" w:eastAsia="Arial" w:hAnsi="Arial"/>
                <w:sz w:val="14"/>
                <w:szCs w:val="14"/>
                <w:color w:val="auto"/>
              </w:rPr>
              <w:t>Real estate and development in process, net (1)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6,537,554</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5,579,218</w:t>
            </w: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756,786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586,470</w:t>
            </w:r>
          </w:p>
        </w:tc>
        <w:tc>
          <w:tcPr>
            <w:tcW w:w="0" w:type="dxa"/>
            <w:vAlign w:val="bottom"/>
          </w:tcPr>
          <w:p>
            <w:pPr>
              <w:spacing w:after="0"/>
              <w:rPr>
                <w:sz w:val="1"/>
                <w:szCs w:val="1"/>
                <w:color w:val="auto"/>
              </w:rPr>
            </w:pPr>
          </w:p>
        </w:tc>
      </w:tr>
      <w:tr>
        <w:trPr>
          <w:trHeight w:val="179"/>
        </w:trPr>
        <w:tc>
          <w:tcPr>
            <w:tcW w:w="772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7,294,340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6,165,688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shd w:val="clear" w:color="auto" w:fill="CCEEFF"/>
          </w:tcPr>
          <w:p>
            <w:pPr>
              <w:ind w:left="2160"/>
              <w:spacing w:after="0" w:line="156" w:lineRule="exact"/>
              <w:rPr>
                <w:sz w:val="20"/>
                <w:szCs w:val="20"/>
                <w:color w:val="auto"/>
              </w:rPr>
            </w:pPr>
            <w:r>
              <w:rPr>
                <w:rFonts w:ascii="Arial" w:cs="Arial" w:eastAsia="Arial" w:hAnsi="Arial"/>
                <w:sz w:val="14"/>
                <w:szCs w:val="14"/>
                <w:b w:val="1"/>
                <w:bCs w:val="1"/>
                <w:color w:val="auto"/>
              </w:rPr>
              <w:t>LIABILITIES AND MEMBERS’/PARTNERS’ EQUITY</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Arial" w:cs="Arial" w:eastAsia="Arial" w:hAnsi="Arial"/>
                <w:sz w:val="14"/>
                <w:szCs w:val="14"/>
                <w:color w:val="auto"/>
              </w:rPr>
              <w:t>Mortgage and notes payable,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4,022,746</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3,214,961</w:t>
            </w: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(2)</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716,271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652,135</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Members’/Partners’ equity</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2,555,323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2,298,592</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liabilities and members’/partners’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7,294,340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6,165,688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Company’s share of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20" w:type="dxa"/>
            <w:vAlign w:val="bottom"/>
            <w:vMerge w:val="continue"/>
          </w:tcPr>
          <w:p>
            <w:pPr>
              <w:spacing w:after="0"/>
              <w:rPr>
                <w:sz w:val="13"/>
                <w:szCs w:val="13"/>
                <w:color w:val="auto"/>
              </w:rPr>
            </w:pP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540" w:type="dxa"/>
            <w:vAlign w:val="bottom"/>
          </w:tcPr>
          <w:p>
            <w:pPr>
              <w:jc w:val="right"/>
              <w:spacing w:after="0" w:line="157" w:lineRule="exact"/>
              <w:rPr>
                <w:sz w:val="20"/>
                <w:szCs w:val="20"/>
                <w:color w:val="auto"/>
              </w:rPr>
            </w:pPr>
            <w:r>
              <w:rPr>
                <w:rFonts w:ascii="Arial" w:cs="Arial" w:eastAsia="Arial" w:hAnsi="Arial"/>
                <w:sz w:val="14"/>
                <w:szCs w:val="14"/>
                <w:color w:val="auto"/>
              </w:rPr>
              <w:t>1,238,929</w:t>
            </w:r>
          </w:p>
        </w:tc>
        <w:tc>
          <w:tcPr>
            <w:tcW w:w="120" w:type="dxa"/>
            <w:vAlign w:val="bottom"/>
          </w:tcPr>
          <w:p>
            <w:pPr>
              <w:spacing w:after="0"/>
              <w:rPr>
                <w:sz w:val="13"/>
                <w:szCs w:val="13"/>
                <w:color w:val="auto"/>
              </w:rPr>
            </w:pPr>
          </w:p>
        </w:tc>
        <w:tc>
          <w:tcPr>
            <w:tcW w:w="160" w:type="dxa"/>
            <w:vAlign w:val="bottom"/>
          </w:tcPr>
          <w:p>
            <w:pPr>
              <w:jc w:val="right"/>
              <w:ind w:right="9"/>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tcPr>
          <w:p>
            <w:pPr>
              <w:jc w:val="right"/>
              <w:ind w:right="9"/>
              <w:spacing w:after="0" w:line="157" w:lineRule="exact"/>
              <w:rPr>
                <w:sz w:val="20"/>
                <w:szCs w:val="20"/>
                <w:color w:val="auto"/>
              </w:rPr>
            </w:pPr>
            <w:r>
              <w:rPr>
                <w:rFonts w:ascii="Arial" w:cs="Arial" w:eastAsia="Arial" w:hAnsi="Arial"/>
                <w:sz w:val="14"/>
                <w:szCs w:val="14"/>
                <w:color w:val="auto"/>
              </w:rPr>
              <w:t>1,104,175</w:t>
            </w: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Basis differentials (3)</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391,556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341,751</w:t>
            </w:r>
          </w:p>
        </w:tc>
        <w:tc>
          <w:tcPr>
            <w:tcW w:w="0" w:type="dxa"/>
            <w:vAlign w:val="bottom"/>
          </w:tcPr>
          <w:p>
            <w:pPr>
              <w:spacing w:after="0"/>
              <w:rPr>
                <w:sz w:val="1"/>
                <w:szCs w:val="1"/>
                <w:color w:val="auto"/>
              </w:rPr>
            </w:pPr>
          </w:p>
        </w:tc>
      </w:tr>
      <w:tr>
        <w:trPr>
          <w:trHeight w:val="179"/>
        </w:trPr>
        <w:tc>
          <w:tcPr>
            <w:tcW w:w="7720" w:type="dxa"/>
            <w:vAlign w:val="bottom"/>
          </w:tcPr>
          <w:p>
            <w:pPr>
              <w:ind w:left="20"/>
              <w:spacing w:after="0"/>
              <w:rPr>
                <w:sz w:val="20"/>
                <w:szCs w:val="20"/>
                <w:color w:val="auto"/>
              </w:rPr>
            </w:pPr>
            <w:r>
              <w:rPr>
                <w:rFonts w:ascii="Arial" w:cs="Arial" w:eastAsia="Arial" w:hAnsi="Arial"/>
                <w:sz w:val="14"/>
                <w:szCs w:val="14"/>
                <w:color w:val="auto"/>
              </w:rPr>
              <w:t>Carrying value of the Company’s investments in unconsolidated joint ventures (4)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1,630,485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1,445,926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20" w:right="120" w:hanging="283"/>
        <w:spacing w:after="0" w:line="256" w:lineRule="auto"/>
        <w:tabs>
          <w:tab w:leader="none" w:pos="41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At December 31, 2022 and December 31, 2021, this amount included right of use assets - finance leases totaling approximately $248.9 million. At December 31, 2022 and December 31, 2021, this amount included right of use assets - operating leases totaling approximately $21.2 million and $22.3 million, respectively.</w:t>
      </w:r>
    </w:p>
    <w:p>
      <w:pPr>
        <w:jc w:val="both"/>
        <w:ind w:left="420" w:right="80" w:hanging="283"/>
        <w:spacing w:after="0" w:line="256" w:lineRule="auto"/>
        <w:tabs>
          <w:tab w:leader="none" w:pos="41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At December 31, 2022 and December 31, 2021, this amount included lease liabilities - finance leases totaling approximately $382.2 million and $385.5 million, respectively. At December 31, 2022 and December 31, 2021, this amount included lease liabilities - operating leases totaling approximately $30.5 million and $30.4 million, respectively.</w:t>
      </w:r>
    </w:p>
    <w:p>
      <w:pPr>
        <w:ind w:left="420" w:right="40" w:hanging="283"/>
        <w:spacing w:after="0" w:line="258" w:lineRule="auto"/>
        <w:tabs>
          <w:tab w:leader="none" w:pos="41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December 31, 2021</w:t>
            </w:r>
          </w:p>
        </w:tc>
      </w:tr>
      <w:tr>
        <w:trPr>
          <w:trHeight w:val="139"/>
        </w:trPr>
        <w:tc>
          <w:tcPr>
            <w:tcW w:w="6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Property</w:t>
            </w:r>
          </w:p>
        </w:tc>
        <w:tc>
          <w:tcPr>
            <w:tcW w:w="140" w:type="dxa"/>
            <w:vAlign w:val="bottom"/>
          </w:tcPr>
          <w:p>
            <w:pPr>
              <w:spacing w:after="0"/>
              <w:rPr>
                <w:sz w:val="12"/>
                <w:szCs w:val="12"/>
                <w:color w:val="auto"/>
              </w:rPr>
            </w:pPr>
          </w:p>
        </w:tc>
        <w:tc>
          <w:tcPr>
            <w:tcW w:w="3280" w:type="dxa"/>
            <w:vAlign w:val="bottom"/>
            <w:gridSpan w:val="3"/>
          </w:tcPr>
          <w:p>
            <w:pPr>
              <w:jc w:val="right"/>
              <w:ind w:right="1149"/>
              <w:spacing w:after="0" w:line="123" w:lineRule="exact"/>
              <w:rPr>
                <w:sz w:val="20"/>
                <w:szCs w:val="20"/>
                <w:color w:val="auto"/>
              </w:rPr>
            </w:pPr>
            <w:r>
              <w:rPr>
                <w:rFonts w:ascii="Arial" w:cs="Arial" w:eastAsia="Arial" w:hAnsi="Arial"/>
                <w:sz w:val="14"/>
                <w:szCs w:val="14"/>
                <w:b w:val="1"/>
                <w:bCs w:val="1"/>
                <w:color w:val="auto"/>
              </w:rPr>
              <w:t>(in thousands)</w:t>
            </w:r>
          </w:p>
        </w:tc>
      </w:tr>
      <w:tr>
        <w:trPr>
          <w:trHeight w:val="27"/>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6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Colorado Center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301,820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304,776</w:t>
            </w:r>
          </w:p>
        </w:tc>
      </w:tr>
      <w:tr>
        <w:trPr>
          <w:trHeight w:val="187"/>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200 Fifth Avenue</w:t>
            </w:r>
          </w:p>
        </w:tc>
        <w:tc>
          <w:tcPr>
            <w:tcW w:w="140" w:type="dxa"/>
            <w:vAlign w:val="bottom"/>
          </w:tcPr>
          <w:p>
            <w:pPr>
              <w:spacing w:after="0"/>
              <w:rPr>
                <w:sz w:val="16"/>
                <w:szCs w:val="16"/>
                <w:color w:val="auto"/>
              </w:rPr>
            </w:pPr>
          </w:p>
        </w:tc>
        <w:tc>
          <w:tcPr>
            <w:tcW w:w="1560" w:type="dxa"/>
            <w:vAlign w:val="bottom"/>
          </w:tcPr>
          <w:p>
            <w:pPr>
              <w:jc w:val="right"/>
              <w:ind w:right="29"/>
              <w:spacing w:after="0"/>
              <w:rPr>
                <w:sz w:val="20"/>
                <w:szCs w:val="20"/>
                <w:color w:val="auto"/>
              </w:rPr>
            </w:pPr>
            <w:r>
              <w:rPr>
                <w:rFonts w:ascii="Arial" w:cs="Arial" w:eastAsia="Arial" w:hAnsi="Arial"/>
                <w:sz w:val="14"/>
                <w:szCs w:val="14"/>
                <w:color w:val="auto"/>
              </w:rPr>
              <w:t>94,497</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92"/>
        </w:trPr>
        <w:tc>
          <w:tcPr>
            <w:tcW w:w="6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Gateway Commons</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47,808</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51,009</w:t>
            </w:r>
          </w:p>
        </w:tc>
      </w:tr>
      <w:tr>
        <w:trPr>
          <w:trHeight w:val="184"/>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Dock 72</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(98,980)</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(50,051)</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These basis differentials (excluding land) will be amortized over the remaining lives of the related assets and liabilities.</w:t>
      </w:r>
    </w:p>
    <w:p>
      <w:pPr>
        <w:spacing w:after="0" w:line="88" w:lineRule="exact"/>
        <w:rPr>
          <w:sz w:val="20"/>
          <w:szCs w:val="20"/>
          <w:color w:val="auto"/>
        </w:rPr>
      </w:pPr>
    </w:p>
    <w:p>
      <w:pPr>
        <w:ind w:left="420" w:right="400" w:hanging="283"/>
        <w:spacing w:after="0" w:line="279" w:lineRule="auto"/>
        <w:tabs>
          <w:tab w:leader="none" w:pos="41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Investments with deficit balances aggregating approximately $85.4 million and $37.1 million at December 31, 2022 and December 31, 2021, respectively, are reflected within Other Liabilities in the Company’s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statements of operations of the Company’s unconsolidated joint ventures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4"/>
        </w:trPr>
        <w:tc>
          <w:tcPr>
            <w:tcW w:w="6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181"/>
        </w:trPr>
        <w:tc>
          <w:tcPr>
            <w:tcW w:w="6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 (1)</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512,078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383,649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319,560</w:t>
            </w:r>
          </w:p>
        </w:tc>
      </w:tr>
      <w:tr>
        <w:trPr>
          <w:trHeight w:val="201"/>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198,632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158,498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144,347</w:t>
            </w:r>
          </w:p>
        </w:tc>
      </w:tr>
      <w:tr>
        <w:trPr>
          <w:trHeight w:val="201"/>
        </w:trPr>
        <w:tc>
          <w:tcPr>
            <w:tcW w:w="658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1,027</w:t>
            </w: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181,041</w:t>
            </w: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147,121</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141,853</w:t>
            </w:r>
          </w:p>
        </w:tc>
      </w:tr>
      <w:tr>
        <w:trPr>
          <w:trHeight w:val="193"/>
        </w:trPr>
        <w:tc>
          <w:tcPr>
            <w:tcW w:w="6580" w:type="dxa"/>
            <w:vAlign w:val="bottom"/>
          </w:tcPr>
          <w:p>
            <w:pPr>
              <w:ind w:left="20"/>
              <w:spacing w:after="0" w:line="180" w:lineRule="exact"/>
              <w:rPr>
                <w:sz w:val="20"/>
                <w:szCs w:val="20"/>
                <w:color w:val="auto"/>
              </w:rPr>
            </w:pPr>
            <w:r>
              <w:rPr>
                <w:rFonts w:ascii="Arial" w:cs="Arial" w:eastAsia="Arial" w:hAnsi="Arial"/>
                <w:sz w:val="16"/>
                <w:szCs w:val="16"/>
                <w:color w:val="auto"/>
              </w:rPr>
              <w:t>Total expenses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380,510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306,089</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287,227</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580" w:type="dxa"/>
            <w:vAlign w:val="bottom"/>
          </w:tcPr>
          <w:p>
            <w:pPr>
              <w:ind w:left="300"/>
              <w:spacing w:after="0"/>
              <w:rPr>
                <w:sz w:val="20"/>
                <w:szCs w:val="20"/>
                <w:color w:val="auto"/>
              </w:rPr>
            </w:pPr>
            <w:r>
              <w:rPr>
                <w:rFonts w:ascii="Arial" w:cs="Arial" w:eastAsia="Arial" w:hAnsi="Arial"/>
                <w:sz w:val="16"/>
                <w:szCs w:val="16"/>
                <w:color w:val="auto"/>
              </w:rPr>
              <w:t>Loss from early extinguishment of debt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(154,065)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(108,884)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(98,051)</w:t>
            </w:r>
          </w:p>
        </w:tc>
      </w:tr>
      <w:tr>
        <w:trPr>
          <w:trHeight w:val="201"/>
        </w:trPr>
        <w:tc>
          <w:tcPr>
            <w:tcW w:w="6580" w:type="dxa"/>
            <w:vAlign w:val="bottom"/>
          </w:tcPr>
          <w:p>
            <w:pPr>
              <w:ind w:left="300"/>
              <w:spacing w:after="0"/>
              <w:rPr>
                <w:sz w:val="20"/>
                <w:szCs w:val="20"/>
                <w:color w:val="auto"/>
              </w:rPr>
            </w:pPr>
            <w:r>
              <w:rPr>
                <w:rFonts w:ascii="Arial" w:cs="Arial" w:eastAsia="Arial" w:hAnsi="Arial"/>
                <w:sz w:val="16"/>
                <w:szCs w:val="16"/>
                <w:color w:val="auto"/>
              </w:rPr>
              <w:t>Unrealized gain on derivative instruments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on sales of real estate (2)</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11,737</w:t>
            </w:r>
          </w:p>
        </w:tc>
      </w:tr>
      <w:tr>
        <w:trPr>
          <w:trHeight w:val="193"/>
        </w:trPr>
        <w:tc>
          <w:tcPr>
            <w:tcW w:w="6580" w:type="dxa"/>
            <w:vAlign w:val="bottom"/>
          </w:tcPr>
          <w:p>
            <w:pPr>
              <w:ind w:left="580"/>
              <w:spacing w:after="0" w:line="180" w:lineRule="exact"/>
              <w:rPr>
                <w:sz w:val="20"/>
                <w:szCs w:val="20"/>
                <w:color w:val="auto"/>
              </w:rPr>
            </w:pPr>
            <w:r>
              <w:rPr>
                <w:rFonts w:ascii="Arial" w:cs="Arial" w:eastAsia="Arial" w:hAnsi="Arial"/>
                <w:sz w:val="16"/>
                <w:szCs w:val="16"/>
                <w:color w:val="auto"/>
              </w:rPr>
              <w:t>Net loss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(22,143)</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(31,324)</w:t>
            </w:r>
          </w:p>
        </w:tc>
        <w:tc>
          <w:tcPr>
            <w:tcW w:w="260" w:type="dxa"/>
            <w:vAlign w:val="bottom"/>
          </w:tcPr>
          <w:p>
            <w:pPr>
              <w:spacing w:after="0"/>
              <w:rPr>
                <w:sz w:val="16"/>
                <w:szCs w:val="16"/>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(53,981)</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6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580" w:type="dxa"/>
            <w:vAlign w:val="bottom"/>
          </w:tcPr>
          <w:p>
            <w:pPr>
              <w:ind w:left="20"/>
              <w:spacing w:after="0"/>
              <w:rPr>
                <w:sz w:val="20"/>
                <w:szCs w:val="20"/>
                <w:color w:val="auto"/>
              </w:rPr>
            </w:pPr>
            <w:r>
              <w:rPr>
                <w:rFonts w:ascii="Arial" w:cs="Arial" w:eastAsia="Arial" w:hAnsi="Arial"/>
                <w:sz w:val="16"/>
                <w:szCs w:val="16"/>
                <w:color w:val="auto"/>
              </w:rPr>
              <w:t>Company’s share of net loss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(2,551)</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(10,254)</w:t>
            </w:r>
          </w:p>
        </w:tc>
        <w:tc>
          <w:tcPr>
            <w:tcW w:w="260" w:type="dxa"/>
            <w:vAlign w:val="bottom"/>
          </w:tcPr>
          <w:p>
            <w:pPr>
              <w:spacing w:after="0"/>
              <w:rPr>
                <w:sz w:val="17"/>
                <w:szCs w:val="17"/>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(16,256)</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investment (3)</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1"/>
        </w:trPr>
        <w:tc>
          <w:tcPr>
            <w:tcW w:w="6580" w:type="dxa"/>
            <w:vAlign w:val="bottom"/>
          </w:tcPr>
          <w:p>
            <w:pPr>
              <w:ind w:left="20"/>
              <w:spacing w:after="0"/>
              <w:rPr>
                <w:sz w:val="20"/>
                <w:szCs w:val="20"/>
                <w:color w:val="auto"/>
              </w:rPr>
            </w:pPr>
            <w:r>
              <w:rPr>
                <w:rFonts w:ascii="Arial" w:cs="Arial" w:eastAsia="Arial" w:hAnsi="Arial"/>
                <w:sz w:val="16"/>
                <w:szCs w:val="16"/>
                <w:color w:val="auto"/>
              </w:rPr>
              <w:t>Impairment loss on investment (4)</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(50,705)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(60,524)</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 (5)</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(6,584)</w:t>
            </w: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r>
      <w:tr>
        <w:trPr>
          <w:trHeight w:val="193"/>
        </w:trPr>
        <w:tc>
          <w:tcPr>
            <w:tcW w:w="6580" w:type="dxa"/>
            <w:vAlign w:val="bottom"/>
          </w:tcPr>
          <w:p>
            <w:pPr>
              <w:ind w:left="20"/>
              <w:spacing w:after="0" w:line="180" w:lineRule="exact"/>
              <w:rPr>
                <w:sz w:val="20"/>
                <w:szCs w:val="20"/>
                <w:color w:val="auto"/>
              </w:rPr>
            </w:pPr>
            <w:r>
              <w:rPr>
                <w:rFonts w:ascii="Arial" w:cs="Arial" w:eastAsia="Arial" w:hAnsi="Arial"/>
                <w:sz w:val="16"/>
                <w:szCs w:val="16"/>
                <w:color w:val="auto"/>
              </w:rPr>
              <w:t>Loss from unconsolidated joint ventures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(59,840)</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(2,570)</w:t>
            </w:r>
          </w:p>
        </w:tc>
        <w:tc>
          <w:tcPr>
            <w:tcW w:w="260" w:type="dxa"/>
            <w:vAlign w:val="bottom"/>
          </w:tcPr>
          <w:p>
            <w:pPr>
              <w:spacing w:after="0"/>
              <w:rPr>
                <w:sz w:val="16"/>
                <w:szCs w:val="16"/>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(85,110)</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420" w:right="820" w:hanging="283"/>
        <w:spacing w:after="0" w:line="256" w:lineRule="auto"/>
        <w:tabs>
          <w:tab w:leader="none" w:pos="41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straight-line rent adjustments of approximately $62.9 million, $17.2 million and $(10.1) million for the years ended December 31, 2022, 2021 and 2020, respectively.</w:t>
      </w:r>
    </w:p>
    <w:p>
      <w:pPr>
        <w:ind w:left="420" w:right="60" w:hanging="283"/>
        <w:spacing w:after="0" w:line="256" w:lineRule="auto"/>
        <w:tabs>
          <w:tab w:leader="none" w:pos="41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For the year ended December 31, 2020, represents the gain on sale of Annapolis Junction Building Eight and two land parcels. The gain on sale of real estate is included in Loss from Unconsolidated Joint Ventures in the Company’s Consolidated Statements of Operations.</w:t>
      </w:r>
    </w:p>
    <w:p>
      <w:pPr>
        <w:ind w:left="420" w:right="280" w:hanging="283"/>
        <w:spacing w:after="0" w:line="247" w:lineRule="auto"/>
        <w:tabs>
          <w:tab w:leader="none" w:pos="41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During the year ended December 31, 2021, the Company completed the sale of its 50% ownership interest in Annapolis Junction NFM LLC. The Company recognized a gain on sale of investment of approximately $10.3 million.</w:t>
      </w:r>
    </w:p>
    <w:p>
      <w:pPr>
        <w:ind w:left="420" w:right="740" w:hanging="283"/>
        <w:spacing w:after="0" w:line="256" w:lineRule="auto"/>
        <w:tabs>
          <w:tab w:leader="none" w:pos="41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During the years ended December 31, 2022 and December 31, 2020, the Company recognized an other-than-temporary impairment loss on its investment in the unconsolidated joint venture that owns Dock 72 in Brooklyn, New York totaling approximately $50.7 million and $60.5 million, respectively.</w:t>
      </w:r>
    </w:p>
    <w:p>
      <w:pPr>
        <w:ind w:left="420" w:right="20" w:hanging="283"/>
        <w:spacing w:after="0" w:line="263" w:lineRule="auto"/>
        <w:tabs>
          <w:tab w:leader="none" w:pos="41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straight-line rent adjustments of approximately $0.5 million, $0.8 million and $1.8 million for the years ended December 31, 2022, 2021 and 2020, respectively. Also includes net above-/below-market rent adjustments of approximately $0.4 million, $0.4 million and $0.9 million for the years ended December 31, 2022, 2021 and 2020, respectively.</w:t>
      </w:r>
    </w:p>
    <w:p>
      <w:pPr>
        <w:spacing w:after="0" w:line="298" w:lineRule="exact"/>
        <w:rPr>
          <w:sz w:val="20"/>
          <w:szCs w:val="20"/>
          <w:color w:val="auto"/>
        </w:rPr>
      </w:pPr>
    </w:p>
    <w:p>
      <w:pPr>
        <w:ind w:right="340" w:firstLine="391"/>
        <w:spacing w:after="0" w:line="286" w:lineRule="auto"/>
        <w:rPr>
          <w:sz w:val="20"/>
          <w:szCs w:val="20"/>
          <w:color w:val="auto"/>
        </w:rPr>
      </w:pPr>
      <w:r>
        <w:rPr>
          <w:rFonts w:ascii="Arial" w:cs="Arial" w:eastAsia="Arial" w:hAnsi="Arial"/>
          <w:sz w:val="15"/>
          <w:szCs w:val="15"/>
          <w:color w:val="auto"/>
        </w:rPr>
        <w:t>On January 18, 2022, a joint venture in which the Company owns a 50% interest commenced the redevelopment of 651 Gateway located in South San Francisco, California. 651 Gateway is a premier workplace that is being converted to approximately 327,000 net rentable square feet of life sciences space.</w:t>
      </w:r>
    </w:p>
    <w:p>
      <w:pPr>
        <w:spacing w:after="0" w:line="110"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On February 2, 2022, a joint venture in which the Company owns a 55% interest commenced the development of the first phase of Platform 16, a premier workplace project located in San Jose, California, that is expected to contain approximately 1.1 million net rentable square feet upon completion. The first phase of the development projects includes the construction of an approximately 390,000 net rentable square foot premier workplace building and a below-grade parking garage.</w:t>
      </w:r>
    </w:p>
    <w:p>
      <w:pPr>
        <w:spacing w:after="0" w:line="137" w:lineRule="exact"/>
        <w:rPr>
          <w:sz w:val="20"/>
          <w:szCs w:val="20"/>
          <w:color w:val="auto"/>
        </w:rPr>
      </w:pPr>
    </w:p>
    <w:p>
      <w:pPr>
        <w:ind w:right="220" w:firstLine="391"/>
        <w:spacing w:after="0" w:line="249" w:lineRule="auto"/>
        <w:rPr>
          <w:sz w:val="20"/>
          <w:szCs w:val="20"/>
          <w:color w:val="auto"/>
        </w:rPr>
      </w:pPr>
      <w:r>
        <w:rPr>
          <w:rFonts w:ascii="Arial" w:cs="Arial" w:eastAsia="Arial" w:hAnsi="Arial"/>
          <w:sz w:val="16"/>
          <w:szCs w:val="16"/>
          <w:color w:val="auto"/>
        </w:rPr>
        <w:t>On March 28, 2022, a joint venture in which the Company owns a 20% interest refinanced with a new lender the debt secured by its Metropolitan Square property located in Washington, DC. At the time of the refinancing, the loan had an outstanding balance of approximately $294.1 million, bore interest at a variable rate equal to (1) the greater of (x) LIBOR or (y) 0.65%, plus (2) 4.75% per annum and was scheduled to mature on July 7, 2022, with two, one-year extension options, subject to certain conditions. There was no prepayment penalty associated with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prepayment of the previous mortgage loan. The joint venture recognized a loss from early extinguishment of debt totaling approximately $1.3 million due to the write-off of unamortized deferred financing costs. In conjunction with the refinancing, the joint venture settled its interest rate cap agreement, entered into in 2020, to limit its exposure to increases in the LIBOR rate. The new mortgage and mezzanine loans have an aggregate principal balance of $420.0 million, bear interest at a weighted average variable rate equal to the Secured Overnight Financing Rate (“SOFR“) plus 2.75% per annum and mature on April 9, 2024, with three, one-year extension options, subject to certain conditions. The joint venture distributed excess loan proceeds from the new mortgage and mezzanine loans totaling approximately $100.5 million, of which the Company’s share totaled approximately $20.1 million. On September 1, 2022, the joint venture entered into an interest rate cap agreement that capped SOFR at 4.50% per annum on a notional amount of $420.0 million through April 15, 2024. Metropolitan Square is a premier workplace with approximately 657,000 net rentable square feet located in Washington, DC.</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April 18, 2022, a joint venture in which the Company owns a 50% interest extended the maturity date of the construction loan collateralized by its Hub50House property to June 19, 2022. At the time of the extension, the loan had an outstanding balance of approximately $176.5 million, bore interest at a variable rate equal to LIBOR plus 2.00% per annum and was scheduled to mature on April 19, 2022. On June 17, 2022, the joint venture repaid the existing construction loan and obtained a new mortgage loan. The new mortgage loan has a principal balance of $185.0 million, bears interest at a variable rate equal to SOFR plus 1.35% per annum and matures on June 17, 2032. At closing, the joint venture entered into interest rate swap contracts with notional amounts aggregating $185.0 million through April 10, 2032, resulting in a fixed rate of approximately 4.432% per annum through the expiration of the interest rate swap contracts. In conjunction with the new mortgage loan, the joint venture paid off the existing construction loan. At the time of the payoff of the construction loan, the outstanding balance of the loan totaled approximately $176.7 million. The joint venture distributed excess loan proceeds from the new mortgage loan totaling approximately $6.8 million, of which the Company’s share totaled approximately $3.4 million. Hub50House is a residential property that consists of approximately 320,000 net rentable square feet and 440 residential units located in Boston, Massachusetts.</w:t>
      </w:r>
    </w:p>
    <w:p>
      <w:pPr>
        <w:spacing w:after="0" w:line="13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May 13, 2022, the Company entered into a joint venture with a third party to own, operate and develop Reston Next Residential located in Reston, Virginia. Reston Next Residential is expected to consist of 508 residential rental units upon completion. The Company contributed approximately $11.3 million of improvements at closing and will contribute cash totaling approximately $3.5 million post closing for its 20% ownership interest in the joint venture. The partner contributed approximately $0.5 million of cash at closing and will contribute cash totaling approximately $58.7 million in the future for its 80% ownership interest in the joint venture. As a result of the partner’s deferred contribution, as of the acquisition date, the Company owned an approximately 96% interest in the joint venture. On May 13, 2022, the joint venture commenced development and entered into a construction loan collateralized by the property. The construction loan has a principal amount of up to $140.0 million, bears interest at a variable rate equal to SOFR plus 2.00% per annum and matures on May 13, 2026, with two, one-year extension options, subject to certain conditions.</w:t>
      </w:r>
    </w:p>
    <w:p>
      <w:pPr>
        <w:spacing w:after="0" w:line="13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June 16, 2022, the Company entered into a joint venture with a third party to own, operate and develop 751 Gateway, a laboratory building located in South San Francisco, California, that is expected to be approximately 231,000 net rentable square feet upon completion. 751 Gateway was previously part of the Company’s Gateway Commons joint venture. The Company contributed assets with an agreed upon value aggregating approximately $53.9 million and cash totaling approximately $2.6 million for its 49% ownership interest in the joint venture. The partner contributed assets with an agreed upon value aggregating approximately $53.9 million and cash totaling approximately $4.9 million for its 51% ownership interest in the joint venture.</w:t>
      </w:r>
    </w:p>
    <w:p>
      <w:pPr>
        <w:spacing w:after="0" w:line="140"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August 8, 2022, a joint venture in which the Company owns a 50% interest modified the construction loan collateralized by its Dock 72 property located in Brooklyn, New York. At the time of the modification, the loan had an outstanding balance totaling approximately $198.4 million, a total commitment amount of $250.0 million, bore interest at a variable rate equal to LIBOR plus 3.35% per annum, and was scheduled to mature on December 18, 2023. The modified construction loan bore interest at a variable rate equal to (1) the greater of (x) SOFR or (y) 0.25% plus (2) 3.10% per annum, has a total commitment amount of approximately $198.4 million, and continued to mature on December 18, 2023. On December 22, 2022, the joint venture further modified the construction loan. The further modified construction loan bears interest at a variable rate equal to (1) the greater of (x) SOFR or (y) 0.25% plus (2) 2.50% per annum, has a total commitment amount of approximately $198.4 million, and matures on December 18, 2025. During December 2022, the Company recognized a non-cash impairment charge totaling approximately $50.7 million, which represented the other-than temporary decline in the fair value below the carrying value of the Company’s investment in the unconsolidated joint venture that owns Dock 72. The Company assessed the impairment and concluded that it was other than temporary. The Company determined that its valuation of the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0"/>
        <w:spacing w:after="0" w:line="250" w:lineRule="auto"/>
        <w:rPr>
          <w:sz w:val="20"/>
          <w:szCs w:val="20"/>
          <w:color w:val="auto"/>
        </w:rPr>
      </w:pPr>
      <w:r>
        <w:rPr>
          <w:rFonts w:ascii="Arial" w:cs="Arial" w:eastAsia="Arial" w:hAnsi="Arial"/>
          <w:sz w:val="16"/>
          <w:szCs w:val="16"/>
          <w:color w:val="auto"/>
        </w:rPr>
        <w:t>investment was categorized within Level 3 of the fair value hierarchy, as it utilized significant unobservable inputs in its assessment including an exit capitalization rate of 5.75%, a discount rate on the Company’s equity investment (the property is encumbered by mortgage debt) of 7.0% and leasing the currently available space over the period of 2023-2026. Dock 72 is a premier workplace with approximately 669,000 net rentable square feet.</w:t>
      </w:r>
    </w:p>
    <w:p>
      <w:pPr>
        <w:spacing w:after="0" w:line="136" w:lineRule="exact"/>
        <w:rPr>
          <w:sz w:val="20"/>
          <w:szCs w:val="20"/>
          <w:color w:val="auto"/>
        </w:rPr>
      </w:pPr>
    </w:p>
    <w:p>
      <w:pPr>
        <w:ind w:right="20" w:firstLine="391"/>
        <w:spacing w:after="0" w:line="268" w:lineRule="auto"/>
        <w:rPr>
          <w:sz w:val="20"/>
          <w:szCs w:val="20"/>
          <w:color w:val="auto"/>
        </w:rPr>
      </w:pPr>
      <w:r>
        <w:rPr>
          <w:rFonts w:ascii="Arial" w:cs="Arial" w:eastAsia="Arial" w:hAnsi="Arial"/>
          <w:sz w:val="15"/>
          <w:szCs w:val="15"/>
          <w:color w:val="auto"/>
        </w:rPr>
        <w:t>On September 9, 2022, a joint venture in which the Company owns an approximate 33.67% interest modified the mortgage loan collateralized by its Safeco Plaza property located in Seattle, Washington. At the time of the modification, the loan had an outstanding balance of approximately $250.0 million, bore interest at a variable rate equal to the greater of (x) 2.35% or (y) LIBOR plus 2.20% per annum, and was scheduled to mature on September 1, 2026. The modified mortgage loan bears interest at a variable rate equal to the greater of (x) 2.35% or (y) SOFR plus 2.32% per annum and continues to mature on September 1, 2026. In conjunction with the loan modification, the joint venture entered into an interest rate cap agreement that capped SOFR at 2.50% per annum on a notional amount of $250.0 million through September 1, 2023. Safeco Plaza is a premier workplace with approximately 765,000 net rentable square feet.</w:t>
      </w:r>
    </w:p>
    <w:p>
      <w:pPr>
        <w:spacing w:after="0" w:line="12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November 17, 2022, the Company acquired a 26.69% interest in the joint venture that owns 200 Fifth Avenue located in New York, New York, for a gross purchase price of approximately $280.2 million, which included $120.1 million of cash and the Company’s pro rata share of the outstanding loan secured by the property of $160.1 million. The mortgage loan bears interest at a variable rate equal to LIBOR plus 1.30% per annum and matures on November 24, 2028. The joint venture has interest rate swap contracts with notional amounts aggregating $600.0 million through June 2028, resulting in a fixed rate of approximately 4.34% per annum through the expiration of the interest rate swap contracts. 200 Fifth Avenue is a 14-story, approximately 855,000 square-foot, LEED Gold certified, premier workplace located in the Midtown South submarket.</w:t>
      </w:r>
    </w:p>
    <w:p>
      <w:pPr>
        <w:spacing w:after="0" w:line="139"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December 7, 2022, a joint venture in which the Company owns a 50% interest modified the mortgage loan collateralized by its Market Square North property located in Washington, DC. At the time of the modification the loan had an outstanding balance of approximately $125.0 million, bore interest at a variable rate equal to (1) the greater of (x) LIBOR or (y) 0.50%, plus (2) 2.30% per annum, and was scheduled to mature on November 10, 2025, with one, one-year extension option subject to certain conditions. The modified mortgage loan bears interest at a variable rate equal to the greater of (1) the sum of (x) the “benchmark rate”, (y) 2.30% and (z) the adjustment applicable to such “benchmark rate” (approximately 0.11% for Term SOFR), or (2) 2.80%. For the period December 7, 2022 through March 9, 2023, the “benchmark rate” means LIBOR, and for the period after March 10, 2023, through the maturity date, Term SOFR. The modified mortgage loan continues to mature on November 10, 2025, with a one-year extension option subject to certain conditions. Market Square North is a premier workplace with approximately 418,000 net rentable square feet located in Washington, DC.</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23, 2022, a joint venture in which the Company owns a 50% interest modified the construction loan collateralized by its The Hub 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Causeway – Podium property located in Boston, Massachusetts. At the time of the modification, the loan had an outstanding balance of approximately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$174.3 million, bore interest at a variable rate equal to LIBOR plus 2.25% per annum, and was scheduled to mature on September 6, 2023. The modified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construction loan continues to bear interest at a variable rate equal to LIBOR plus 2.25% per annum for the period from December 23, 2022 through April 30,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2023. For the period from May 1, 2023 through the maturity date, the construction loan bears interest at a variable rate equal to Term SOFR plus 2.35% per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annum. The modified construction loan continues to mature on September 6, 2023. The Hub on Causeway – Podium is a premier workplace with approximately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380,000 net rentable square feet located in Boston, Massachusetts.</w:t>
      </w:r>
    </w:p>
    <w:p>
      <w:pPr>
        <w:spacing w:after="0" w:line="14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December 23, 2022, a joint venture in which the Company owns a 50% interest modified the construction loan collateralized by its 100 Causeway Street property located in Boston, Massachusetts. At the time of the modification, the loan had an outstanding balance of approximately $337.6 million, bore interest at a variable rate equal to LIBOR plus 1.50% per annum, and was scheduled to mature on September 5, 2023, with two, one-year extension options, subject to certain conditions. The modified construction loan continues to bear interest at a variable rate equal to LIBOR plus 1.50% per annum for the period from December 23, 2022 through April 30, 2023. For the period from May 1, 2023 through the maturity date, the construction loan will bear interest at a variable rate equal to Term SOFR plus 1.60% per annum. The modified construction loan continues to mature on September 5, 2023, with two, one-year extension options, subject to certain conditions. 100 Causeway Street is a premier workplace with approximately 630,000 net rentable square feet located in Boston, Massachusetts.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0" w:name="page161"/>
    <w:bookmarkEnd w:id="160"/>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5" w:hanging="185"/>
        <w:spacing w:after="0"/>
        <w:tabs>
          <w:tab w:leader="none" w:pos="185"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51" w:lineRule="exact"/>
        <w:rPr>
          <w:rFonts w:ascii="Arial" w:cs="Arial" w:eastAsia="Arial" w:hAnsi="Arial"/>
          <w:sz w:val="16"/>
          <w:szCs w:val="16"/>
          <w:b w:val="1"/>
          <w:bCs w:val="1"/>
          <w:color w:val="auto"/>
        </w:rPr>
      </w:pPr>
    </w:p>
    <w:p>
      <w:pPr>
        <w:ind w:left="185"/>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Mortgage Notes Payable</w:t>
      </w:r>
    </w:p>
    <w:p>
      <w:pPr>
        <w:spacing w:after="0" w:line="93" w:lineRule="exact"/>
        <w:rPr>
          <w:sz w:val="20"/>
          <w:szCs w:val="20"/>
          <w:color w:val="auto"/>
        </w:rPr>
      </w:pPr>
    </w:p>
    <w:p>
      <w:pPr>
        <w:jc w:val="both"/>
        <w:ind w:left="5" w:right="160" w:firstLine="391"/>
        <w:spacing w:after="0" w:line="250" w:lineRule="auto"/>
        <w:rPr>
          <w:sz w:val="20"/>
          <w:szCs w:val="20"/>
          <w:color w:val="auto"/>
        </w:rPr>
      </w:pPr>
      <w:r>
        <w:rPr>
          <w:rFonts w:ascii="Arial" w:cs="Arial" w:eastAsia="Arial" w:hAnsi="Arial"/>
          <w:sz w:val="16"/>
          <w:szCs w:val="16"/>
          <w:color w:val="auto"/>
        </w:rPr>
        <w:t>The Company had outstanding mortgage notes payable totaling approximately $3.3 billion as of December 31, 2022 and 2021, each collateralized by one or more buildings and related land included in real estate assets. The mortgage notes payable are generally due in monthly installments and mature at various dates through January 9, 2032.</w:t>
      </w:r>
    </w:p>
    <w:p>
      <w:pPr>
        <w:spacing w:after="0" w:line="136" w:lineRule="exact"/>
        <w:rPr>
          <w:sz w:val="20"/>
          <w:szCs w:val="20"/>
          <w:color w:val="auto"/>
        </w:rPr>
      </w:pPr>
    </w:p>
    <w:p>
      <w:pPr>
        <w:ind w:left="5" w:right="40" w:firstLine="391"/>
        <w:spacing w:after="0" w:line="250" w:lineRule="auto"/>
        <w:rPr>
          <w:sz w:val="20"/>
          <w:szCs w:val="20"/>
          <w:color w:val="auto"/>
        </w:rPr>
      </w:pPr>
      <w:r>
        <w:rPr>
          <w:rFonts w:ascii="Arial" w:cs="Arial" w:eastAsia="Arial" w:hAnsi="Arial"/>
          <w:sz w:val="16"/>
          <w:szCs w:val="16"/>
          <w:color w:val="auto"/>
        </w:rPr>
        <w:t>Fixed rate mortgage notes payable totaled approximately $3.3 billion at December 31, 2022 and 2021, with contractual interest rates ranging from 2.79% to 3.43% per annum at December 31, 2022 and 2021 (with a weighted-average interest rate of 3.24% at December 31, 2022 and 2021). There were no variable rate mortgage loans at December 31, 2022 and 2021.</w:t>
      </w:r>
    </w:p>
    <w:p>
      <w:pPr>
        <w:spacing w:after="0" w:line="136" w:lineRule="exact"/>
        <w:rPr>
          <w:sz w:val="20"/>
          <w:szCs w:val="20"/>
          <w:color w:val="auto"/>
        </w:rPr>
      </w:pPr>
    </w:p>
    <w:p>
      <w:pPr>
        <w:ind w:left="385"/>
        <w:spacing w:after="0"/>
        <w:rPr>
          <w:sz w:val="20"/>
          <w:szCs w:val="20"/>
          <w:color w:val="auto"/>
        </w:rPr>
      </w:pPr>
      <w:r>
        <w:rPr>
          <w:rFonts w:ascii="Arial" w:cs="Arial" w:eastAsia="Arial" w:hAnsi="Arial"/>
          <w:sz w:val="16"/>
          <w:szCs w:val="16"/>
          <w:color w:val="auto"/>
        </w:rPr>
        <w:t>Contractual aggregate principal payments of mortgage notes payable at December 31, 2022 are as follows (dollars in thousands):</w:t>
      </w:r>
    </w:p>
    <w:p>
      <w:pPr>
        <w:spacing w:after="0" w:line="73"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9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Principal Payments</w:t>
            </w:r>
          </w:p>
        </w:tc>
      </w:tr>
      <w:tr>
        <w:trPr>
          <w:trHeight w:val="196"/>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w:t>
            </w:r>
          </w:p>
        </w:tc>
      </w:tr>
      <w:tr>
        <w:trPr>
          <w:trHeight w:val="201"/>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r>
      <w:tr>
        <w:trPr>
          <w:trHeight w:val="194"/>
        </w:trPr>
        <w:tc>
          <w:tcPr>
            <w:tcW w:w="9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aggregate principal payments</w:t>
            </w: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3,300,000</w:t>
            </w:r>
          </w:p>
        </w:tc>
      </w:tr>
      <w:tr>
        <w:trPr>
          <w:trHeight w:val="201"/>
        </w:trPr>
        <w:tc>
          <w:tcPr>
            <w:tcW w:w="902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2"/>
        </w:trPr>
        <w:tc>
          <w:tcPr>
            <w:tcW w:w="9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financing costs, net</w:t>
            </w:r>
          </w:p>
        </w:tc>
        <w:tc>
          <w:tcPr>
            <w:tcW w:w="2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27,632</w:t>
            </w:r>
          </w:p>
        </w:tc>
      </w:tr>
      <w:tr>
        <w:trPr>
          <w:trHeight w:val="193"/>
        </w:trPr>
        <w:tc>
          <w:tcPr>
            <w:tcW w:w="9020" w:type="dxa"/>
            <w:vAlign w:val="bottom"/>
          </w:tcPr>
          <w:p>
            <w:pPr>
              <w:ind w:left="20"/>
              <w:spacing w:after="0" w:line="180" w:lineRule="exact"/>
              <w:rPr>
                <w:sz w:val="20"/>
                <w:szCs w:val="20"/>
                <w:color w:val="auto"/>
              </w:rPr>
            </w:pPr>
            <w:r>
              <w:rPr>
                <w:rFonts w:ascii="Arial" w:cs="Arial" w:eastAsia="Arial" w:hAnsi="Arial"/>
                <w:sz w:val="16"/>
                <w:szCs w:val="16"/>
                <w:color w:val="auto"/>
              </w:rPr>
              <w:t>Total carrying value of mortgage notes payable, net</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3,272,368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185"/>
        <w:spacing w:after="0"/>
        <w:rPr>
          <w:sz w:val="20"/>
          <w:szCs w:val="20"/>
          <w:color w:val="auto"/>
        </w:rPr>
      </w:pPr>
      <w:r>
        <w:rPr>
          <w:rFonts w:ascii="Arial" w:cs="Arial" w:eastAsia="Arial" w:hAnsi="Arial"/>
          <w:sz w:val="16"/>
          <w:szCs w:val="16"/>
          <w:i w:val="1"/>
          <w:iCs w:val="1"/>
          <w:color w:val="auto"/>
        </w:rPr>
        <w:t>Unsecured Senior Notes</w:t>
      </w:r>
    </w:p>
    <w:p>
      <w:pPr>
        <w:spacing w:after="0" w:line="93" w:lineRule="exact"/>
        <w:rPr>
          <w:sz w:val="20"/>
          <w:szCs w:val="20"/>
          <w:color w:val="auto"/>
        </w:rPr>
      </w:pPr>
    </w:p>
    <w:p>
      <w:pPr>
        <w:ind w:left="365"/>
        <w:spacing w:after="0"/>
        <w:rPr>
          <w:sz w:val="20"/>
          <w:szCs w:val="20"/>
          <w:color w:val="auto"/>
        </w:rPr>
      </w:pPr>
      <w:r>
        <w:rPr>
          <w:rFonts w:ascii="Arial" w:cs="Arial" w:eastAsia="Arial" w:hAnsi="Arial"/>
          <w:sz w:val="16"/>
          <w:szCs w:val="16"/>
          <w:color w:val="auto"/>
        </w:rPr>
        <w:t>The following summarizes the unsecured senior notes outstanding as of December 31, 2022 (dollars in thousands):</w:t>
      </w:r>
    </w:p>
    <w:p>
      <w:pPr>
        <w:spacing w:after="0" w:line="113" w:lineRule="exact"/>
        <w:rPr>
          <w:sz w:val="20"/>
          <w:szCs w:val="20"/>
          <w:color w:val="auto"/>
        </w:rPr>
      </w:pPr>
    </w:p>
    <w:tbl>
      <w:tblPr>
        <w:tblLayout w:type="fixed"/>
        <w:tblInd w:w="5" w:type="dxa"/>
        <w:tblCellMar>
          <w:top w:w="0" w:type="dxa"/>
          <w:left w:w="0" w:type="dxa"/>
          <w:bottom w:w="0" w:type="dxa"/>
          <w:right w:w="0" w:type="dxa"/>
        </w:tblCellMar>
      </w:tblPr>
      <w:tr>
        <w:trPr>
          <w:trHeight w:val="173"/>
        </w:trPr>
        <w:tc>
          <w:tcPr>
            <w:tcW w:w="36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Coupon/Stated Rate</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Effective Rate(1)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Principal Amount</w:t>
            </w:r>
          </w:p>
        </w:tc>
        <w:tc>
          <w:tcPr>
            <w:tcW w:w="200" w:type="dxa"/>
            <w:vAlign w:val="bottom"/>
            <w:tcBorders>
              <w:bottom w:val="single" w:sz="8" w:color="CCEEFF"/>
            </w:tcBorders>
          </w:tcPr>
          <w:p>
            <w:pPr>
              <w:spacing w:after="0"/>
              <w:rPr>
                <w:sz w:val="15"/>
                <w:szCs w:val="15"/>
                <w:color w:val="auto"/>
              </w:rPr>
            </w:pPr>
          </w:p>
        </w:tc>
        <w:tc>
          <w:tcPr>
            <w:tcW w:w="254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Maturity Date(2)</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10.5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3.125 %</w:t>
            </w:r>
          </w:p>
        </w:tc>
        <w:tc>
          <w:tcPr>
            <w:tcW w:w="2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3.279 %   $</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2023</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10.5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3.800 %</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3.916 %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700,000</w:t>
            </w:r>
          </w:p>
        </w:tc>
        <w:tc>
          <w:tcPr>
            <w:tcW w:w="20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February 1, 2024</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3.200 %</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15, 2025</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10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3.650 %</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3.766 %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February 1, 2026</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2.750 %</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2026</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5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6.750 %</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6.924 %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750,000</w:t>
            </w:r>
          </w:p>
        </w:tc>
        <w:tc>
          <w:tcPr>
            <w:tcW w:w="20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December 1, 2027</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4.500 %</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2028</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10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3.400 %</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3.505 %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850,000</w:t>
            </w:r>
          </w:p>
        </w:tc>
        <w:tc>
          <w:tcPr>
            <w:tcW w:w="20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June 21, 2029</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10.5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2.900 %</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15, 2030</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10.75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3.250 %</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3.343 %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1,250,000</w:t>
            </w:r>
          </w:p>
        </w:tc>
        <w:tc>
          <w:tcPr>
            <w:tcW w:w="20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January 30, 2031</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2.550 %</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850,000</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12 Year Unsecured Senior Notes</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2.450 %</w:t>
            </w:r>
          </w:p>
        </w:tc>
        <w:tc>
          <w:tcPr>
            <w:tcW w:w="2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2.524 %</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850,000</w:t>
            </w:r>
          </w:p>
        </w:tc>
        <w:tc>
          <w:tcPr>
            <w:tcW w:w="20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October 1, 2033</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principal</w:t>
            </w:r>
          </w:p>
        </w:tc>
        <w:tc>
          <w:tcPr>
            <w:tcW w:w="1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10,300,000</w:t>
            </w:r>
          </w:p>
        </w:tc>
        <w:tc>
          <w:tcPr>
            <w:tcW w:w="20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Less: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unamortized discount</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14,094</w:t>
            </w: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Deferred financing costs, net</w:t>
            </w:r>
          </w:p>
        </w:tc>
        <w:tc>
          <w:tcPr>
            <w:tcW w:w="15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47,938</w:t>
            </w:r>
          </w:p>
        </w:tc>
        <w:tc>
          <w:tcPr>
            <w:tcW w:w="20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10,237,968</w:t>
            </w:r>
          </w:p>
        </w:tc>
        <w:tc>
          <w:tcPr>
            <w:tcW w:w="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062"/>
              <w:spacing w:after="0"/>
              <w:rPr>
                <w:sz w:val="20"/>
                <w:szCs w:val="20"/>
                <w:color w:val="auto"/>
              </w:rPr>
            </w:pPr>
            <w:r>
              <w:rPr>
                <w:rFonts w:ascii="Arial" w:cs="Arial" w:eastAsia="Arial" w:hAnsi="Arial"/>
                <w:sz w:val="16"/>
                <w:szCs w:val="16"/>
                <w:color w:val="auto"/>
              </w:rPr>
              <w:t>156</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5" w:lineRule="exact"/>
        <w:rPr>
          <w:sz w:val="20"/>
          <w:szCs w:val="20"/>
          <w:color w:val="auto"/>
        </w:rPr>
      </w:pPr>
    </w:p>
    <w:p>
      <w:pPr>
        <w:ind w:left="420" w:hanging="283"/>
        <w:spacing w:after="0"/>
        <w:tabs>
          <w:tab w:leader="none" w:pos="4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Yield on issuance date including the effects of discounts on the notes, settlements of interest rate contracts and the amortization of financing costs.</w:t>
      </w:r>
    </w:p>
    <w:p>
      <w:pPr>
        <w:spacing w:after="0" w:line="16" w:lineRule="exact"/>
        <w:rPr>
          <w:rFonts w:ascii="Arial" w:cs="Arial" w:eastAsia="Arial" w:hAnsi="Arial"/>
          <w:sz w:val="14"/>
          <w:szCs w:val="14"/>
          <w:color w:val="auto"/>
        </w:rPr>
      </w:pPr>
    </w:p>
    <w:p>
      <w:pPr>
        <w:ind w:left="420" w:hanging="283"/>
        <w:spacing w:after="0"/>
        <w:tabs>
          <w:tab w:leader="none" w:pos="4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 principal amounts are due prior to maturity.</w:t>
      </w:r>
    </w:p>
    <w:p>
      <w:pPr>
        <w:spacing w:after="0" w:line="228"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On November 17, 2022, BPLP completed a public offering of $750.0 million in aggregate principal amount of its 6.750% unsecured senior notes due 2027. The notes were priced at 99.941% of the principal amount to yield an effective rate (including financing fees) of approximately 6.924% per annum to maturity. The notes will mature on December 1, 2027, unless earlier redeemed. The aggregate net proceeds from the offering were approximately $743.5 million after deducting underwriting discounts and transaction expenses.</w:t>
      </w:r>
    </w:p>
    <w:p>
      <w:pPr>
        <w:spacing w:after="0" w:line="137" w:lineRule="exact"/>
        <w:rPr>
          <w:sz w:val="20"/>
          <w:szCs w:val="20"/>
          <w:color w:val="auto"/>
        </w:rPr>
      </w:pPr>
    </w:p>
    <w:p>
      <w:pPr>
        <w:ind w:right="140" w:firstLine="391"/>
        <w:spacing w:after="0" w:line="250" w:lineRule="auto"/>
        <w:rPr>
          <w:sz w:val="20"/>
          <w:szCs w:val="20"/>
          <w:color w:val="auto"/>
        </w:rPr>
      </w:pPr>
      <w:r>
        <w:rPr>
          <w:rFonts w:ascii="Arial" w:cs="Arial" w:eastAsia="Arial" w:hAnsi="Arial"/>
          <w:sz w:val="16"/>
          <w:szCs w:val="16"/>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December 31, 2022, BPLP was in compliance with each of these financial restrictions and requirements.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Credit Facility</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On June 15, 2021, BPLP amended and restated its prior credit facility (as amended and restated, the “2021 Credit Facility”). The 2021 Credit Facility provides for borrowings of up to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w:t>
      </w:r>
    </w:p>
    <w:p>
      <w:pPr>
        <w:spacing w:after="0" w:line="139" w:lineRule="exact"/>
        <w:rPr>
          <w:sz w:val="20"/>
          <w:szCs w:val="20"/>
          <w:color w:val="auto"/>
        </w:rPr>
      </w:pPr>
    </w:p>
    <w:p>
      <w:pPr>
        <w:ind w:right="80" w:firstLine="391"/>
        <w:spacing w:after="0" w:line="263" w:lineRule="auto"/>
        <w:rPr>
          <w:sz w:val="20"/>
          <w:szCs w:val="20"/>
          <w:color w:val="auto"/>
        </w:rPr>
      </w:pPr>
      <w:r>
        <w:rPr>
          <w:rFonts w:ascii="Arial" w:cs="Arial" w:eastAsia="Arial" w:hAnsi="Arial"/>
          <w:sz w:val="15"/>
          <w:szCs w:val="15"/>
          <w:color w:val="auto"/>
        </w:rPr>
        <w:t>At BPLP’s option, loans under the 2021 Credit Facility will bear interest at a rate per annum equal to (1) (a) in the case of loans denominated in Dollars, LIBOR, (b) in the case of loans denominated in Euro, EURIBOR, (c) in the case of loans denominated in Canadian Dollars, CDOR, and (d) in the case of loans denominated in Sterling, SONIA, in each case, plus a margin ranging from 70.0 to 140.0 basis points based on BPLP’s credit rating or (2) an alternate base rate equal to the greatest of (a) the Federal Funds rate plus 0.5%, (b) the Administrative Agent’s prime rate, (c) LIBOR for a one-month period plus 1.00%, and (d)</w:t>
      </w:r>
    </w:p>
    <w:p>
      <w:pPr>
        <w:spacing w:after="0" w:line="2"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1.00%, in each case, plus a margin ranging from 0 to 40 basis points based on BPLP’s credit rating. The 2021 Credit Facility includes provisions which allow LIBOR Daily Floating Rate to be switched to SOFR.</w:t>
      </w:r>
    </w:p>
    <w:p>
      <w:pPr>
        <w:spacing w:after="0" w:line="134" w:lineRule="exact"/>
        <w:rPr>
          <w:sz w:val="20"/>
          <w:szCs w:val="20"/>
          <w:color w:val="auto"/>
        </w:rPr>
      </w:pPr>
    </w:p>
    <w:p>
      <w:pPr>
        <w:ind w:right="320" w:firstLine="391"/>
        <w:spacing w:after="0" w:line="252" w:lineRule="auto"/>
        <w:rPr>
          <w:sz w:val="20"/>
          <w:szCs w:val="20"/>
          <w:color w:val="auto"/>
        </w:rPr>
      </w:pPr>
      <w:r>
        <w:rPr>
          <w:rFonts w:ascii="Arial" w:cs="Arial" w:eastAsia="Arial" w:hAnsi="Arial"/>
          <w:sz w:val="16"/>
          <w:szCs w:val="16"/>
          <w:color w:val="auto"/>
        </w:rPr>
        <w:t>The 2021 Credit Facility also features a sustainability-linked pricing component such that if BPLP meets certain sustainability performance targets, the applicable per annum interest rate will be reduced by one basis point. The LIBOR replacement provisions in the 2021 Credit Facility permit the use of rates based on the secured overnight financing rate administered by the Federal Reserve Bank of New York plus an applicable spread adjustment. In addition, the 2021 Credit Facility contains a competitive bid option for up to 65% of the Revolving Facility that allows banks that are part of the lender consortium to bid to make loan advances to BPLP at a reduced interest rate.</w:t>
      </w:r>
    </w:p>
    <w:p>
      <w:pPr>
        <w:spacing w:after="0" w:line="148" w:lineRule="exact"/>
        <w:rPr>
          <w:sz w:val="20"/>
          <w:szCs w:val="20"/>
          <w:color w:val="auto"/>
        </w:rPr>
      </w:pPr>
    </w:p>
    <w:p>
      <w:pPr>
        <w:ind w:right="40" w:firstLine="391"/>
        <w:spacing w:after="0" w:line="254" w:lineRule="auto"/>
        <w:rPr>
          <w:sz w:val="20"/>
          <w:szCs w:val="20"/>
          <w:color w:val="auto"/>
        </w:rPr>
      </w:pPr>
      <w:r>
        <w:rPr>
          <w:rFonts w:ascii="Arial" w:cs="Arial" w:eastAsia="Arial" w:hAnsi="Arial"/>
          <w:sz w:val="16"/>
          <w:szCs w:val="16"/>
          <w:color w:val="auto"/>
        </w:rPr>
        <w:t>Pursuant to the 2021 Credit Facility, BPLP is obligated to pay (1) in quarterly installments a facility fee on the total commitment under the Revolving Facility at a rate per annum ranging from 0.10% to 0.30% based on BPLP’s credit rating and (2) an annual fee on the undrawn amount of each letter of credit ranging from 0.70% to 1.40% based on BPLP</w:t>
      </w:r>
      <w:r>
        <w:rPr>
          <w:rFonts w:ascii="Arial" w:cs="Arial" w:eastAsia="Arial" w:hAnsi="Arial"/>
          <w:sz w:val="17"/>
          <w:szCs w:val="17"/>
          <w:color w:val="auto"/>
        </w:rPr>
        <w:t>’s</w:t>
      </w:r>
      <w:r>
        <w:rPr>
          <w:rFonts w:ascii="Arial" w:cs="Arial" w:eastAsia="Arial" w:hAnsi="Arial"/>
          <w:sz w:val="16"/>
          <w:szCs w:val="16"/>
          <w:color w:val="auto"/>
        </w:rPr>
        <w:t xml:space="preserve"> credit rating.</w:t>
      </w:r>
    </w:p>
    <w:p>
      <w:pPr>
        <w:spacing w:after="0" w:line="127" w:lineRule="exact"/>
        <w:rPr>
          <w:sz w:val="20"/>
          <w:szCs w:val="20"/>
          <w:color w:val="auto"/>
        </w:rPr>
      </w:pPr>
    </w:p>
    <w:p>
      <w:pPr>
        <w:ind w:right="160" w:firstLine="391"/>
        <w:spacing w:after="0" w:line="253" w:lineRule="auto"/>
        <w:rPr>
          <w:sz w:val="20"/>
          <w:szCs w:val="20"/>
          <w:color w:val="auto"/>
        </w:rPr>
      </w:pPr>
      <w:r>
        <w:rPr>
          <w:rFonts w:ascii="Arial" w:cs="Arial" w:eastAsia="Arial" w:hAnsi="Arial"/>
          <w:sz w:val="16"/>
          <w:szCs w:val="16"/>
          <w:color w:val="auto"/>
        </w:rPr>
        <w:t>Based on BPLP’s December 31, 2022 credit rating, (1) the applicable Eurocurrency and LIBOR Daily Floating Rate margins are 0.775%, (2) the alternate base rate margin is zero basis points and (3) the facility fee is 0.15% per annum.</w:t>
      </w:r>
    </w:p>
    <w:p>
      <w:pPr>
        <w:spacing w:after="0" w:line="134"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At December 31, 2022, BPLP had no amount outstanding under its Revolving Facility. At December 31, 2021, BPLP had $145.0 million outstanding under its Revolving Facility.</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Term Loan</w:t>
      </w:r>
    </w:p>
    <w:p>
      <w:pPr>
        <w:spacing w:after="0" w:line="105"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On May 17, 2022, BPLP entered into the 2022 Unsecured Term Loan, which provided for a single borrowing of up to $730.0 million. The 2022 Unsecured Term Loan matures on May 16, 2023 (See Note 16).</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At BPLP’s option, the 2022 Unsecured Term Loan bore interest at a rate per annum equal to (A) (1) a base rate per annum equal to the greater of (a) 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was unavailable, then the forward-looking SOFR term rate administered by CME on the first business day immediately prior thereto, in each case, plus 0.10%, and (B) a margin ranging from zero to 160 basis points based on BPLP’s credit rating.</w:t>
      </w:r>
    </w:p>
    <w:p>
      <w:pPr>
        <w:spacing w:after="0" w:line="140"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On May 17, 2022, BPLP exercised its option to draw $730.0 million under the 2022 Unsecured Term Loan (See Note 3). As of December 31, 2022, the 2022 Unsecured Term Loan bore interest at a variable rate equal to term SOFR plus 0.95% per annum based on BPLP’s credit rating at December 31, 2022. At December 31, 2022, BPLP had $730.0 million outstanding under the 2022 Unsecured Term Loan (see Note 16).</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2021 Credit Facility and 2022 Unsecured Term Loan Compliance</w:t>
      </w:r>
    </w:p>
    <w:p>
      <w:pPr>
        <w:spacing w:after="0" w:line="93" w:lineRule="exact"/>
        <w:rPr>
          <w:sz w:val="20"/>
          <w:szCs w:val="20"/>
          <w:color w:val="auto"/>
        </w:rPr>
      </w:pPr>
    </w:p>
    <w:p>
      <w:pPr>
        <w:ind w:firstLine="391"/>
        <w:spacing w:after="0" w:line="266" w:lineRule="auto"/>
        <w:rPr>
          <w:sz w:val="20"/>
          <w:szCs w:val="20"/>
          <w:color w:val="auto"/>
        </w:rPr>
      </w:pPr>
      <w:r>
        <w:rPr>
          <w:rFonts w:ascii="Arial" w:cs="Arial" w:eastAsia="Arial" w:hAnsi="Arial"/>
          <w:sz w:val="15"/>
          <w:szCs w:val="15"/>
          <w:color w:val="auto"/>
        </w:rPr>
        <w:t xml:space="preserve">The 2021 Credit Facility and 2022 Unsecured Term Loan contain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in the case of the 2021 Credit Facility, all outstanding amounts and the cancellation of all commitments outstanding under the 2021 Credit Facility and, in the case of the 2022 Unsecured Term Loan, any outstanding amount under the 2022 Unsecured Term Loan. Among other covenants, the 2021 Credit Facility and the 2022 Unsecured Term Loan require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w:t>
      </w:r>
      <w:r>
        <w:rPr>
          <w:rFonts w:ascii="Arial" w:cs="Arial" w:eastAsia="Arial" w:hAnsi="Arial"/>
          <w:sz w:val="13"/>
          <w:szCs w:val="13"/>
          <w:color w:val="auto"/>
        </w:rPr>
        <w:t>December</w:t>
      </w:r>
      <w:r>
        <w:rPr>
          <w:rFonts w:ascii="Arial" w:cs="Arial" w:eastAsia="Arial" w:hAnsi="Arial"/>
          <w:sz w:val="15"/>
          <w:szCs w:val="15"/>
          <w:color w:val="auto"/>
        </w:rPr>
        <w:t xml:space="preserve"> 31, 2022, BPLP was in compliance with each of these financial and other covenant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General</w:t>
      </w:r>
    </w:p>
    <w:p>
      <w:pPr>
        <w:spacing w:after="0" w:line="93" w:lineRule="exact"/>
        <w:rPr>
          <w:sz w:val="20"/>
          <w:szCs w:val="20"/>
          <w:color w:val="auto"/>
        </w:rPr>
      </w:pPr>
    </w:p>
    <w:p>
      <w:pPr>
        <w:jc w:val="both"/>
        <w:ind w:right="20" w:firstLine="391"/>
        <w:spacing w:after="0" w:line="250" w:lineRule="auto"/>
        <w:rPr>
          <w:sz w:val="20"/>
          <w:szCs w:val="20"/>
          <w:color w:val="auto"/>
        </w:rPr>
      </w:pPr>
      <w:r>
        <w:rPr>
          <w:rFonts w:ascii="Arial" w:cs="Arial" w:eastAsia="Arial" w:hAnsi="Arial"/>
          <w:sz w:val="16"/>
          <w:szCs w:val="16"/>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36" w:lineRule="exact"/>
        <w:rPr>
          <w:sz w:val="20"/>
          <w:szCs w:val="20"/>
          <w:color w:val="auto"/>
        </w:rPr>
      </w:pPr>
    </w:p>
    <w:p>
      <w:pPr>
        <w:ind w:right="320" w:firstLine="391"/>
        <w:spacing w:after="0" w:line="253" w:lineRule="auto"/>
        <w:rPr>
          <w:sz w:val="20"/>
          <w:szCs w:val="20"/>
          <w:color w:val="auto"/>
        </w:rPr>
      </w:pPr>
      <w:r>
        <w:rPr>
          <w:rFonts w:ascii="Arial" w:cs="Arial" w:eastAsia="Arial" w:hAnsi="Arial"/>
          <w:sz w:val="16"/>
          <w:szCs w:val="16"/>
          <w:color w:val="auto"/>
        </w:rPr>
        <w:t>The Company had letter of credit and performance obligations related to lender and development requirements that total approximately $26.5 million at December 31, 2022.</w:t>
      </w:r>
    </w:p>
    <w:p>
      <w:pPr>
        <w:spacing w:after="0" w:line="134" w:lineRule="exact"/>
        <w:rPr>
          <w:sz w:val="20"/>
          <w:szCs w:val="20"/>
          <w:color w:val="auto"/>
        </w:rPr>
      </w:pPr>
    </w:p>
    <w:p>
      <w:pPr>
        <w:jc w:val="both"/>
        <w:ind w:right="140" w:firstLine="391"/>
        <w:spacing w:after="0" w:line="250" w:lineRule="auto"/>
        <w:rPr>
          <w:sz w:val="20"/>
          <w:szCs w:val="20"/>
          <w:color w:val="auto"/>
        </w:rPr>
      </w:pPr>
      <w:r>
        <w:rPr>
          <w:rFonts w:ascii="Arial" w:cs="Arial" w:eastAsia="Arial" w:hAnsi="Arial"/>
          <w:sz w:val="16"/>
          <w:szCs w:val="16"/>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36"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39"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December 31, 2022, the maximum funding obligation under the guarantee was approximately $13.7 million. The Company earns a fee from the joint venture for providing the guarantee and has an agreement with the outside partners to reimburse the joint venture for their share of any payments made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0"/>
        <w:spacing w:after="0" w:line="253" w:lineRule="auto"/>
        <w:rPr>
          <w:sz w:val="20"/>
          <w:szCs w:val="20"/>
          <w:color w:val="auto"/>
        </w:rPr>
      </w:pPr>
      <w:r>
        <w:rPr>
          <w:rFonts w:ascii="Arial" w:cs="Arial" w:eastAsia="Arial" w:hAnsi="Arial"/>
          <w:sz w:val="16"/>
          <w:szCs w:val="16"/>
          <w:color w:val="auto"/>
        </w:rPr>
        <w:t>under the guarantee. As of December 31, 2022, no amounts related to the guarantee were recorded as liabilities in the Company’s consolidated financial statements.</w:t>
      </w:r>
    </w:p>
    <w:p>
      <w:pPr>
        <w:spacing w:after="0" w:line="134"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In connection with the development of the 7750 Wisconsin Avenue office property located in Bethesda, Maryland, the Company entered into agreements with affiliates of The Bernstein Companies (the Company’s partner in the 7750 Wisconsin Avenue joint venture) under which the Company could be required to act as a mezzanine and/or mortgage lender and finance the construction of the hotel property being developed by an affiliate of The Bernstein Companies adjacent to the office property. An affiliate of The Bernstein Companies exercised its option to borrow $10.0 million from the Company under such agreements, and the Company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 The financing was recorded as Note Receivable, Net in the Company’s Consolidated Balance Sheets.</w:t>
      </w:r>
    </w:p>
    <w:p>
      <w:pPr>
        <w:spacing w:after="0" w:line="138"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Each of the zoning ordinance and urban renewal plan was amended to decouple the residential requirement from the occupancy of the 325 Main Street property. 325 Main Street consisted of an approximately 115,000 net rentable square foot premier workplace that was demolished and redeveloped into an approximately 414,000 net rentable square foot premier workplace. While the amendment to the urban renewal plan is subject to completion of administrative processes, the City of Cambridge issued a temporary certificate of occupancy in the second quarter of 2022 (See Note 3).</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Concentrations of Credit Risk</w:t>
      </w:r>
    </w:p>
    <w:p>
      <w:pPr>
        <w:spacing w:after="0" w:line="93" w:lineRule="exact"/>
        <w:rPr>
          <w:sz w:val="20"/>
          <w:szCs w:val="20"/>
          <w:color w:val="auto"/>
        </w:rPr>
      </w:pPr>
    </w:p>
    <w:p>
      <w:pPr>
        <w:ind w:right="460" w:firstLine="391"/>
        <w:spacing w:after="0" w:line="249" w:lineRule="auto"/>
        <w:rPr>
          <w:sz w:val="20"/>
          <w:szCs w:val="20"/>
          <w:color w:val="auto"/>
        </w:rPr>
      </w:pPr>
      <w:r>
        <w:rPr>
          <w:rFonts w:ascii="Arial" w:cs="Arial" w:eastAsia="Arial" w:hAnsi="Arial"/>
          <w:sz w:val="16"/>
          <w:szCs w:val="16"/>
          <w:color w:val="auto"/>
        </w:rPr>
        <w:t>Management of the Company performs ongoing credit evaluations of tenants and may require tenants to provide some form of credit support such as corporate guarantees and/or other financial guarantees. Although the Company’s properties are geographically diverse and tenants operate in a variety of industries, to the extent the Company has a significant concentration of rental revenue from any single tenant, the inability of that tenant to make its lease payments could have an adverse effect on the Company.</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Insurance</w:t>
      </w:r>
    </w:p>
    <w:p>
      <w:pPr>
        <w:spacing w:after="0" w:line="105" w:lineRule="exact"/>
        <w:rPr>
          <w:sz w:val="20"/>
          <w:szCs w:val="20"/>
          <w:color w:val="auto"/>
        </w:rPr>
      </w:pPr>
    </w:p>
    <w:p>
      <w:pPr>
        <w:ind w:firstLine="391"/>
        <w:spacing w:after="0" w:line="263" w:lineRule="auto"/>
        <w:rPr>
          <w:sz w:val="20"/>
          <w:szCs w:val="20"/>
          <w:color w:val="auto"/>
        </w:rPr>
      </w:pPr>
      <w:r>
        <w:rPr>
          <w:rFonts w:ascii="Arial" w:cs="Arial" w:eastAsia="Arial" w:hAnsi="Arial"/>
          <w:sz w:val="15"/>
          <w:szCs w:val="15"/>
          <w:color w:val="auto"/>
        </w:rPr>
        <w:t>The Company’s property insurance program per occurrence limits are $1.0 billion for its portfolio insurance program, including coverage for acts of terrorism other than nuclear, biological, chemical or radiological terrorism (“Terrorism Coverage”). The Company also carries $1.35 billion of property insurance in excess of the $1.0 billion of coverage in the Company’s property insurance program for 601 Lexington Avenue, New York, New York, consisting of $750 million of property and Terrorism Coverage in excess of the Company’s property insurance program and $600 million of Terrorism Coverage only in excess of the</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$330 million annual aggregate limit, $30 million of which is provided by IXP, as a direct insurer. This insurance is subject to a deductible in the amount of 3%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24"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8" w:lineRule="exact"/>
        <w:rPr>
          <w:sz w:val="20"/>
          <w:szCs w:val="20"/>
          <w:color w:val="auto"/>
        </w:rPr>
      </w:pPr>
    </w:p>
    <w:p>
      <w:pPr>
        <w:ind w:right="60" w:firstLine="391"/>
        <w:spacing w:after="0" w:line="267" w:lineRule="auto"/>
        <w:rPr>
          <w:sz w:val="20"/>
          <w:szCs w:val="20"/>
          <w:color w:val="auto"/>
        </w:rPr>
      </w:pPr>
      <w:r>
        <w:rPr>
          <w:rFonts w:ascii="Arial" w:cs="Arial" w:eastAsia="Arial" w:hAnsi="Arial"/>
          <w:sz w:val="15"/>
          <w:szCs w:val="15"/>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Legal Matters</w:t>
      </w:r>
    </w:p>
    <w:p>
      <w:pPr>
        <w:spacing w:after="0" w:line="93" w:lineRule="exact"/>
        <w:rPr>
          <w:sz w:val="20"/>
          <w:szCs w:val="20"/>
          <w:color w:val="auto"/>
        </w:rPr>
      </w:pPr>
    </w:p>
    <w:p>
      <w:pPr>
        <w:ind w:right="180" w:firstLine="391"/>
        <w:spacing w:after="0" w:line="250" w:lineRule="auto"/>
        <w:rPr>
          <w:sz w:val="20"/>
          <w:szCs w:val="20"/>
          <w:color w:val="auto"/>
        </w:rPr>
      </w:pPr>
      <w:r>
        <w:rPr>
          <w:rFonts w:ascii="Arial" w:cs="Arial" w:eastAsia="Arial" w:hAnsi="Arial"/>
          <w:sz w:val="16"/>
          <w:szCs w:val="16"/>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State and Local Tax Matters</w:t>
      </w:r>
    </w:p>
    <w:p>
      <w:pPr>
        <w:spacing w:after="0" w:line="105"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Because BXP is organized and qualifies as a REIT, it is generally not subject to federal income taxes, but is subject to certain state and local taxes. In the normal course of business, certain entities through which the Company owns real estate either have undergone, or are currently undergoing, tax audits. Although the Company believes that it has substantial arguments in favor of its positions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the Company’s results of operations.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Environmental Matters</w:t>
      </w:r>
    </w:p>
    <w:p>
      <w:pPr>
        <w:spacing w:after="0" w:line="105" w:lineRule="exact"/>
        <w:rPr>
          <w:sz w:val="20"/>
          <w:szCs w:val="20"/>
          <w:color w:val="auto"/>
        </w:rPr>
      </w:pPr>
    </w:p>
    <w:p>
      <w:pPr>
        <w:jc w:val="both"/>
        <w:ind w:right="120" w:firstLine="391"/>
        <w:spacing w:after="0" w:line="250" w:lineRule="auto"/>
        <w:rPr>
          <w:sz w:val="20"/>
          <w:szCs w:val="20"/>
          <w:color w:val="auto"/>
        </w:rPr>
      </w:pPr>
      <w:r>
        <w:rPr>
          <w:rFonts w:ascii="Arial" w:cs="Arial" w:eastAsia="Arial" w:hAnsi="Arial"/>
          <w:sz w:val="16"/>
          <w:szCs w:val="16"/>
          <w:color w:val="auto"/>
        </w:rPr>
        <w:t>It is the Company’s policy to retain independent environmental consultants to conduct or update Phase I environmental assessments (which generally do not involve invasive techniques such as soil or ground water sampling) and asbestos surveys in connection with the Company’s acquisition of properties. These pre-purchase environmental assessments have not revealed environmental conditions that the Company believes will have a</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material adverse effect on its business, assets, financial condition, results of operations or liquidity, and the Company is not otherwise aware of environmental conditions with respect to its properties that the Company believes would have such a material adverse effect. However, from time to time environmental conditions at the Company’s properties have required and may in the future require environmental testing and/or regulatory filings, as well as remedial action.</w:t>
      </w:r>
    </w:p>
    <w:p>
      <w:pPr>
        <w:spacing w:after="0" w:line="118"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In February 1999, the Company (through a joint venture) acquired from Exxon Corporation a property in Massachusetts that was formerly used as a petroleum bulk storage and distribution facility and was known by the state regulatory authority to contain soil and groundwater contamination. The Company developed an office park on the property. The Company engaged a specially licensed environmental consultant to oversee the management of contaminated soil and groundwater that was disturbed in the course of construction. Under the property acquisition agreement, Exxon agreed to (1) bear the liability arising from releases or discharges of oil and hazardous substances which occurred at the site prior to the Company’s ownership, (2) continue monitoring and/or remediating such releases and discharges as necessary and appropriate to comply with applicable requirements, and (3) indemnify the Company for certain losses arising from preexisting site conditions. Any indemnity claim may be subject to various defenses and contractual limitations, including time limits, and there can be no assurance that the amounts paid under the indemnity, if any, would be sufficient to cover the liabilities arising from any such releases and discharges.</w:t>
      </w:r>
    </w:p>
    <w:p>
      <w:pPr>
        <w:spacing w:after="0" w:line="124"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Environmental investigations at some of the Company’s properties and certain properties owned by affiliates of the Company have identified groundwater contamination migrating from off-site source properties. In each case the Company engaged a licensed environmental consultant to perform the necessary investigations and assessments and to prepare any required submittals to the regulatory authorities. In each case the environmental consultant concluded that the properties qualify under the regulatory program or the regulatory practice for a status which eliminates certain deadlines for conducting response actions at a site. The Company also believes that these properties qualify for liability relief under certain statutory provisions or regulatory practices regarding upgradient releases. Although the Company believes that the current or former owners of the upgradient source properties may bear responsibility for some or all of the costs of addressing the identified groundwater contamination, the Company will take such further response actions (if any) that it deems necessary or advisable. Other than periodic testing at some of these properties, no such additional response actions are anticipated at this time.</w:t>
      </w:r>
    </w:p>
    <w:p>
      <w:pPr>
        <w:spacing w:after="0" w:line="138" w:lineRule="exact"/>
        <w:rPr>
          <w:sz w:val="20"/>
          <w:szCs w:val="20"/>
          <w:color w:val="auto"/>
        </w:rPr>
      </w:pPr>
    </w:p>
    <w:p>
      <w:pPr>
        <w:ind w:firstLine="391"/>
        <w:spacing w:after="0" w:line="265" w:lineRule="auto"/>
        <w:rPr>
          <w:sz w:val="20"/>
          <w:szCs w:val="20"/>
          <w:color w:val="auto"/>
        </w:rPr>
      </w:pPr>
      <w:r>
        <w:rPr>
          <w:rFonts w:ascii="Arial" w:cs="Arial" w:eastAsia="Arial" w:hAnsi="Arial"/>
          <w:sz w:val="15"/>
          <w:szCs w:val="15"/>
          <w:color w:val="auto"/>
        </w:rPr>
        <w:t>Some of the Company’s properties and certain properties owned by the Company’s affiliates are located in urban, industrial and other previously developed areas where fill or current or historical uses of the areas have caused site contamination. Accordingly, it is sometimes necessary to institute special soil and/or groundwater handling procedures and/or include particular building design features in connection with development, construction and other property operations in order to achieve regulatory closure and/or ensure that contaminated materials are addressed in an appropriate manner. In these situations, it is the Company’s practice to investigate the nature and extent of detected contamination, including potential issues associated with vapor intrusion concerns and/or potential contaminant migration to or from the subject property in ground water, assess potential liability risks and estimate the costs of required response actions and special handling procedures. The Company then uses this information as part of its decision-making process with respect to the acquisition, deal structure and/or development of the property. For example, the Company owns a parcel in Massachusetts which was formerly used as a quarry/asphalt batching facility. Pre-purchase testing indicated that the site contained relatively low levels of certain contaminants. The Company has developed an office park on this property. Prior to and during redevelopment activities, the Company engaged a specially licensed environmental consultant to monitor environmental conditions at the site and prepare necessary regulatory submittals based on the results of an environmental risk characterization. A submittal has been made to the regulatory authorities in order to achieve regulatory closure at this site. The submittal included an environmental deed restriction that mandates compliance with certain protective measures in a portion of the site where low levels of residual soil contamination have been left in place in accordance with applicable laws.</w:t>
      </w:r>
    </w:p>
    <w:p>
      <w:pPr>
        <w:spacing w:after="0" w:line="131" w:lineRule="exact"/>
        <w:rPr>
          <w:sz w:val="20"/>
          <w:szCs w:val="20"/>
          <w:color w:val="auto"/>
        </w:rPr>
      </w:pPr>
    </w:p>
    <w:p>
      <w:pPr>
        <w:ind w:right="220" w:firstLine="391"/>
        <w:spacing w:after="0" w:line="249" w:lineRule="auto"/>
        <w:rPr>
          <w:sz w:val="20"/>
          <w:szCs w:val="20"/>
          <w:color w:val="auto"/>
        </w:rPr>
      </w:pPr>
      <w:r>
        <w:rPr>
          <w:rFonts w:ascii="Arial" w:cs="Arial" w:eastAsia="Arial" w:hAnsi="Arial"/>
          <w:sz w:val="16"/>
          <w:szCs w:val="16"/>
          <w:color w:val="auto"/>
        </w:rPr>
        <w:t>The Company expects that resolution of the environmental matters relating to the above will not have a material impact on its business, assets, financial condition, results of operations or liquidity. However, the Company cannot assure you that it has identified all environmental liabilities at its properties, that all necessary remediation actions have been or will be undertaken at the Company’s properties or that the Company will be indemnified, in full or at all or that the Company will have insurance coverage, in the event that such environmental liabilities arise.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Noncontrolling Interests</w:t>
      </w:r>
    </w:p>
    <w:p>
      <w:pPr>
        <w:spacing w:after="0" w:line="97" w:lineRule="exact"/>
        <w:rPr>
          <w:sz w:val="20"/>
          <w:szCs w:val="20"/>
          <w:color w:val="auto"/>
        </w:rPr>
      </w:pPr>
    </w:p>
    <w:p>
      <w:pPr>
        <w:ind w:right="60" w:firstLine="391"/>
        <w:spacing w:after="0" w:line="249" w:lineRule="auto"/>
        <w:rPr>
          <w:sz w:val="20"/>
          <w:szCs w:val="20"/>
          <w:color w:val="auto"/>
        </w:rPr>
      </w:pPr>
      <w:r>
        <w:rPr>
          <w:rFonts w:ascii="Arial" w:cs="Arial" w:eastAsia="Arial" w:hAnsi="Arial"/>
          <w:sz w:val="16"/>
          <w:szCs w:val="16"/>
          <w:color w:val="auto"/>
        </w:rPr>
        <w:t>Noncontrolling interests relate to the interests in BPLP not owned by BXP and interests in consolidated property partnerships not wholly-owned by the Company. As of December 31, 2022, the noncontrolling interests in BPLP consisted of 16,531,172 OP Units, 1,679,175 LTIP Units (including 464,036 LTIP Units earned by employees under the Company’s multi-year long-term incentive awards granted between 2012 and 2019 (i.e., 2012 OPP and 2013 - 2019 MYLTIP awards)), 203,278 2020 MYLTIP Units, 350,989 2021 MYLTIP Units and 253,453 2022 MYLTIP Units held by parties other than BXP.</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Noncontrolling Interest—Common Units</w:t>
      </w:r>
    </w:p>
    <w:p>
      <w:pPr>
        <w:spacing w:after="0" w:line="107"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During the years ended December 31, 2022 and 2021, 182,929 and 523,969 OP Units, respectively, were presented by the holders for redemption (including 78,249 and 148,442 OP Units, respectively, issued upon conversion of LTIP Units, 2012 OPP Units and MYLTIP Units) and were redeemed by BXP in exchange for an equal number of shares of Common Stock.</w:t>
      </w:r>
    </w:p>
    <w:p>
      <w:pPr>
        <w:spacing w:after="0" w:line="136"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At December 31, 2022, BPLP had outstanding 203,278 2020 MYLTIP Units, 350,989 2021 MYLTIP Units and 253,453 2022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MYLTIP and 2022 MYLTIP only,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MYLTIP Units and 2022 MYLTIP Units.</w:t>
      </w:r>
    </w:p>
    <w:p>
      <w:pPr>
        <w:spacing w:after="0" w:line="138" w:lineRule="exact"/>
        <w:rPr>
          <w:sz w:val="20"/>
          <w:szCs w:val="20"/>
          <w:color w:val="auto"/>
        </w:rPr>
      </w:pPr>
    </w:p>
    <w:p>
      <w:pPr>
        <w:ind w:right="320" w:firstLine="391"/>
        <w:spacing w:after="0" w:line="250" w:lineRule="auto"/>
        <w:rPr>
          <w:sz w:val="20"/>
          <w:szCs w:val="20"/>
          <w:color w:val="auto"/>
        </w:rPr>
      </w:pPr>
      <w:r>
        <w:rPr>
          <w:rFonts w:ascii="Arial" w:cs="Arial" w:eastAsia="Arial" w:hAnsi="Arial"/>
          <w:sz w:val="16"/>
          <w:szCs w:val="16"/>
          <w:color w:val="auto"/>
        </w:rPr>
        <w:t>On February 6, 2020, the measurement period for the Company’s 2017 MYLTIP awards ended and, based on BXP’s relative total stockholder return (“TSR”) performance, the final awards were determined to be 83.8% of target, or an aggregate of approximately $17.6 million (after giving effect to employee separations). As a result, an aggregate of 270,942 2017 MYLTIP Units that had been previously granted were automatically forfeited.</w:t>
      </w:r>
    </w:p>
    <w:p>
      <w:pPr>
        <w:spacing w:after="0" w:line="136" w:lineRule="exact"/>
        <w:rPr>
          <w:sz w:val="20"/>
          <w:szCs w:val="20"/>
          <w:color w:val="auto"/>
        </w:rPr>
      </w:pPr>
    </w:p>
    <w:p>
      <w:pPr>
        <w:ind w:right="240" w:firstLine="391"/>
        <w:spacing w:after="0" w:line="250" w:lineRule="auto"/>
        <w:rPr>
          <w:sz w:val="20"/>
          <w:szCs w:val="20"/>
          <w:color w:val="auto"/>
        </w:rPr>
      </w:pPr>
      <w:r>
        <w:rPr>
          <w:rFonts w:ascii="Arial" w:cs="Arial" w:eastAsia="Arial" w:hAnsi="Arial"/>
          <w:sz w:val="16"/>
          <w:szCs w:val="16"/>
          <w:color w:val="auto"/>
        </w:rPr>
        <w:t>On February 5, 2021, the measurement period for the Company’s 2018 MYLTIP awards ended and, based on BXP’s relative TSR performance, the final awards were determined to be 29.2% of target, or an aggregate of approximately $4.6 million (after giving effect to employee separations). As a result, an aggregate of 285,925 2018 MYLTIP Units that had been previously granted were automatically forfeited.</w:t>
      </w:r>
    </w:p>
    <w:p>
      <w:pPr>
        <w:spacing w:after="0" w:line="136" w:lineRule="exact"/>
        <w:rPr>
          <w:sz w:val="20"/>
          <w:szCs w:val="20"/>
          <w:color w:val="auto"/>
        </w:rPr>
      </w:pPr>
    </w:p>
    <w:p>
      <w:pPr>
        <w:ind w:right="140" w:firstLine="391"/>
        <w:spacing w:after="0" w:line="250" w:lineRule="auto"/>
        <w:rPr>
          <w:sz w:val="20"/>
          <w:szCs w:val="20"/>
          <w:color w:val="auto"/>
        </w:rPr>
      </w:pPr>
      <w:r>
        <w:rPr>
          <w:rFonts w:ascii="Arial" w:cs="Arial" w:eastAsia="Arial" w:hAnsi="Arial"/>
          <w:sz w:val="16"/>
          <w:szCs w:val="16"/>
          <w:color w:val="auto"/>
        </w:rPr>
        <w:t>On December 14, 2021, BPLP issued approximately 866,503 OP Units as partial consideration for the acquisition of 360 Park Avenue South in New York, New York. The OP Units issued totaled approximately $99.7 million based on the average closing price per share of BXP’s common stock for the five trading days immediately preceding the closing date.</w:t>
      </w:r>
    </w:p>
    <w:p>
      <w:pPr>
        <w:spacing w:after="0" w:line="136" w:lineRule="exact"/>
        <w:rPr>
          <w:sz w:val="20"/>
          <w:szCs w:val="20"/>
          <w:color w:val="auto"/>
        </w:rPr>
      </w:pPr>
    </w:p>
    <w:p>
      <w:pPr>
        <w:ind w:right="240" w:firstLine="391"/>
        <w:spacing w:after="0" w:line="250" w:lineRule="auto"/>
        <w:rPr>
          <w:sz w:val="20"/>
          <w:szCs w:val="20"/>
          <w:color w:val="auto"/>
        </w:rPr>
      </w:pPr>
      <w:r>
        <w:rPr>
          <w:rFonts w:ascii="Arial" w:cs="Arial" w:eastAsia="Arial" w:hAnsi="Arial"/>
          <w:sz w:val="16"/>
          <w:szCs w:val="16"/>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36" w:lineRule="exact"/>
        <w:rPr>
          <w:sz w:val="20"/>
          <w:szCs w:val="20"/>
          <w:color w:val="auto"/>
        </w:rPr>
      </w:pPr>
    </w:p>
    <w:p>
      <w:pPr>
        <w:jc w:val="both"/>
        <w:ind w:right="120" w:firstLine="391"/>
        <w:spacing w:after="0" w:line="275" w:lineRule="auto"/>
        <w:rPr>
          <w:sz w:val="20"/>
          <w:szCs w:val="20"/>
          <w:color w:val="auto"/>
        </w:rPr>
      </w:pPr>
      <w:r>
        <w:rPr>
          <w:rFonts w:ascii="Arial" w:cs="Arial" w:eastAsia="Arial" w:hAnsi="Arial"/>
          <w:sz w:val="15"/>
          <w:szCs w:val="15"/>
          <w:color w:val="auto"/>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year ended December 31, 2022: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4"/>
                <w:szCs w:val="14"/>
                <w:color w:val="auto"/>
              </w:rPr>
            </w:pPr>
          </w:p>
        </w:tc>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160" w:type="dxa"/>
            <w:vAlign w:val="bottom"/>
            <w:vMerge w:val="restart"/>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Distributions per OP Unit and</w:t>
            </w:r>
          </w:p>
        </w:tc>
        <w:tc>
          <w:tcPr>
            <w:tcW w:w="23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Distributions per MYLTIP Unit</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LTIP Unit</w:t>
            </w:r>
          </w:p>
        </w:tc>
        <w:tc>
          <w:tcPr>
            <w:tcW w:w="26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30, 2022</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30, 2023</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6"/>
                <w:szCs w:val="16"/>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September 30, 2022</w:t>
            </w:r>
          </w:p>
        </w:tc>
        <w:tc>
          <w:tcPr>
            <w:tcW w:w="2860" w:type="dxa"/>
            <w:vAlign w:val="bottom"/>
            <w:gridSpan w:val="2"/>
          </w:tcPr>
          <w:p>
            <w:pPr>
              <w:spacing w:after="0"/>
              <w:rPr>
                <w:sz w:val="20"/>
                <w:szCs w:val="20"/>
                <w:color w:val="auto"/>
              </w:rPr>
            </w:pPr>
            <w:r>
              <w:rPr>
                <w:rFonts w:ascii="Arial" w:cs="Arial" w:eastAsia="Arial" w:hAnsi="Arial"/>
                <w:sz w:val="16"/>
                <w:szCs w:val="16"/>
                <w:color w:val="auto"/>
              </w:rPr>
              <w:t>October 31, 2022</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2022</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29, 2022</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March 31, 2022</w:t>
            </w:r>
          </w:p>
        </w:tc>
        <w:tc>
          <w:tcPr>
            <w:tcW w:w="2860" w:type="dxa"/>
            <w:vAlign w:val="bottom"/>
            <w:gridSpan w:val="2"/>
          </w:tcPr>
          <w:p>
            <w:pPr>
              <w:spacing w:after="0"/>
              <w:rPr>
                <w:sz w:val="20"/>
                <w:szCs w:val="20"/>
                <w:color w:val="auto"/>
              </w:rPr>
            </w:pPr>
            <w:r>
              <w:rPr>
                <w:rFonts w:ascii="Arial" w:cs="Arial" w:eastAsia="Arial" w:hAnsi="Arial"/>
                <w:sz w:val="16"/>
                <w:szCs w:val="16"/>
                <w:color w:val="auto"/>
              </w:rPr>
              <w:t>April 29, 2022</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2021</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28, 2022</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140" w:firstLine="391"/>
        <w:spacing w:after="0" w:line="275" w:lineRule="auto"/>
        <w:rPr>
          <w:sz w:val="20"/>
          <w:szCs w:val="20"/>
          <w:color w:val="auto"/>
        </w:rPr>
      </w:pPr>
      <w:r>
        <w:rPr>
          <w:rFonts w:ascii="Arial" w:cs="Arial" w:eastAsia="Arial" w:hAnsi="Arial"/>
          <w:sz w:val="15"/>
          <w:szCs w:val="15"/>
          <w:color w:val="auto"/>
        </w:rPr>
        <w:t>The following table presents BPLP’s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year ended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4"/>
                <w:szCs w:val="14"/>
                <w:color w:val="auto"/>
              </w:rPr>
            </w:pPr>
          </w:p>
        </w:tc>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160" w:type="dxa"/>
            <w:vAlign w:val="bottom"/>
            <w:vMerge w:val="restart"/>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Distributions per OP Unit and</w:t>
            </w:r>
          </w:p>
        </w:tc>
        <w:tc>
          <w:tcPr>
            <w:tcW w:w="23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Distributions per MYLTIP Unit</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LTIP Unit</w:t>
            </w:r>
          </w:p>
        </w:tc>
        <w:tc>
          <w:tcPr>
            <w:tcW w:w="2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2021</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28, 2022</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6"/>
                <w:szCs w:val="16"/>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September 30, 2021</w:t>
            </w:r>
          </w:p>
        </w:tc>
        <w:tc>
          <w:tcPr>
            <w:tcW w:w="2860" w:type="dxa"/>
            <w:vAlign w:val="bottom"/>
            <w:gridSpan w:val="2"/>
          </w:tcPr>
          <w:p>
            <w:pPr>
              <w:spacing w:after="0"/>
              <w:rPr>
                <w:sz w:val="20"/>
                <w:szCs w:val="20"/>
                <w:color w:val="auto"/>
              </w:rPr>
            </w:pPr>
            <w:r>
              <w:rPr>
                <w:rFonts w:ascii="Arial" w:cs="Arial" w:eastAsia="Arial" w:hAnsi="Arial"/>
                <w:sz w:val="16"/>
                <w:szCs w:val="16"/>
                <w:color w:val="auto"/>
              </w:rPr>
              <w:t>October 29, 2021</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60" w:type="dxa"/>
            <w:vAlign w:val="bottom"/>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30, 2021</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March 31, 2021</w:t>
            </w:r>
          </w:p>
        </w:tc>
        <w:tc>
          <w:tcPr>
            <w:tcW w:w="2860" w:type="dxa"/>
            <w:vAlign w:val="bottom"/>
            <w:gridSpan w:val="2"/>
          </w:tcPr>
          <w:p>
            <w:pPr>
              <w:spacing w:after="0"/>
              <w:rPr>
                <w:sz w:val="20"/>
                <w:szCs w:val="20"/>
                <w:color w:val="auto"/>
              </w:rPr>
            </w:pPr>
            <w:r>
              <w:rPr>
                <w:rFonts w:ascii="Arial" w:cs="Arial" w:eastAsia="Arial" w:hAnsi="Arial"/>
                <w:sz w:val="16"/>
                <w:szCs w:val="16"/>
                <w:color w:val="auto"/>
              </w:rPr>
              <w:t>April 30, 2021</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60" w:type="dxa"/>
            <w:vAlign w:val="bottom"/>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28, 2021</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140" w:firstLine="391"/>
        <w:spacing w:after="0" w:line="275" w:lineRule="auto"/>
        <w:rPr>
          <w:sz w:val="20"/>
          <w:szCs w:val="20"/>
          <w:color w:val="auto"/>
        </w:rPr>
      </w:pPr>
      <w:r>
        <w:rPr>
          <w:rFonts w:ascii="Arial" w:cs="Arial" w:eastAsia="Arial" w:hAnsi="Arial"/>
          <w:sz w:val="15"/>
          <w:szCs w:val="15"/>
          <w:color w:val="auto"/>
        </w:rPr>
        <w:t>The following table presents BPLP’s distributions on the OP Units and LTIP Units (including the 2012 OPP Units, 2013 - 2016 MYLTIP Units and, after the February 6, 2020 measurement date, the 2017 MYLTIP Units) and its distributions on the 2017 MYLTIP Units (prior to the February 6, 2020 measurement date) and 2018 - 2020 MYLTIP Units (after the February 4, 2020 issuance date of the 2020 MYLTIP Units) that occurred during the year ended December 31,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4"/>
                <w:szCs w:val="14"/>
                <w:color w:val="auto"/>
              </w:rPr>
            </w:pPr>
          </w:p>
        </w:tc>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160" w:type="dxa"/>
            <w:vAlign w:val="bottom"/>
            <w:vMerge w:val="restart"/>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Distributions per OP Unit and</w:t>
            </w:r>
          </w:p>
        </w:tc>
        <w:tc>
          <w:tcPr>
            <w:tcW w:w="23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Distributions per MYLTIP Unit</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LTIP Unit</w:t>
            </w:r>
          </w:p>
        </w:tc>
        <w:tc>
          <w:tcPr>
            <w:tcW w:w="2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28, 2021</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6"/>
                <w:szCs w:val="16"/>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September 30, 2020</w:t>
            </w:r>
          </w:p>
        </w:tc>
        <w:tc>
          <w:tcPr>
            <w:tcW w:w="2860" w:type="dxa"/>
            <w:vAlign w:val="bottom"/>
            <w:gridSpan w:val="2"/>
          </w:tcPr>
          <w:p>
            <w:pPr>
              <w:spacing w:after="0"/>
              <w:rPr>
                <w:sz w:val="20"/>
                <w:szCs w:val="20"/>
                <w:color w:val="auto"/>
              </w:rPr>
            </w:pPr>
            <w:r>
              <w:rPr>
                <w:rFonts w:ascii="Arial" w:cs="Arial" w:eastAsia="Arial" w:hAnsi="Arial"/>
                <w:sz w:val="16"/>
                <w:szCs w:val="16"/>
                <w:color w:val="auto"/>
              </w:rPr>
              <w:t>October 30, 2020</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60" w:type="dxa"/>
            <w:vAlign w:val="bottom"/>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31, 2020</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March 31, 2020</w:t>
            </w:r>
          </w:p>
        </w:tc>
        <w:tc>
          <w:tcPr>
            <w:tcW w:w="2860" w:type="dxa"/>
            <w:vAlign w:val="bottom"/>
            <w:gridSpan w:val="2"/>
          </w:tcPr>
          <w:p>
            <w:pPr>
              <w:spacing w:after="0"/>
              <w:rPr>
                <w:sz w:val="20"/>
                <w:szCs w:val="20"/>
                <w:color w:val="auto"/>
              </w:rPr>
            </w:pPr>
            <w:r>
              <w:rPr>
                <w:rFonts w:ascii="Arial" w:cs="Arial" w:eastAsia="Arial" w:hAnsi="Arial"/>
                <w:sz w:val="16"/>
                <w:szCs w:val="16"/>
                <w:color w:val="auto"/>
              </w:rPr>
              <w:t>April 30, 2020</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60" w:type="dxa"/>
            <w:vAlign w:val="bottom"/>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30, 2020</w:t>
            </w:r>
          </w:p>
        </w:tc>
        <w:tc>
          <w:tcPr>
            <w:tcW w:w="2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391"/>
        <w:spacing w:after="0" w:line="248" w:lineRule="auto"/>
        <w:rPr>
          <w:sz w:val="20"/>
          <w:szCs w:val="20"/>
          <w:color w:val="auto"/>
        </w:rPr>
      </w:pPr>
      <w:r>
        <w:rPr>
          <w:rFonts w:ascii="Arial" w:cs="Arial" w:eastAsia="Arial" w:hAnsi="Arial"/>
          <w:sz w:val="16"/>
          <w:szCs w:val="16"/>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2013 - 2019 MYLTIP Units), assuming in each case that all conditions had been met for the conversion thereof, had all of such units been redeemed at December 31, 2022 was approximately $1.3 billion based on the last reported price of a share of Common Stock on the New York Stock Exchange of $67.58 per share on December 30, 2022.</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Noncontrolling Interests—Property Partnerships</w:t>
      </w:r>
    </w:p>
    <w:p>
      <w:pPr>
        <w:spacing w:after="0" w:line="95" w:lineRule="exact"/>
        <w:rPr>
          <w:sz w:val="20"/>
          <w:szCs w:val="20"/>
          <w:color w:val="auto"/>
        </w:rPr>
      </w:pPr>
    </w:p>
    <w:p>
      <w:pPr>
        <w:ind w:right="100" w:firstLine="391"/>
        <w:spacing w:after="0" w:line="249" w:lineRule="auto"/>
        <w:rPr>
          <w:sz w:val="20"/>
          <w:szCs w:val="20"/>
          <w:color w:val="auto"/>
        </w:rPr>
      </w:pPr>
      <w:r>
        <w:rPr>
          <w:rFonts w:ascii="Arial" w:cs="Arial" w:eastAsia="Arial" w:hAnsi="Arial"/>
          <w:sz w:val="16"/>
          <w:szCs w:val="16"/>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$1.5 billion and $1.6 billion at December 31, 2022 and December 31, 2021, respectively, are included in Noncontrolling Interests—Property Partnerships on the accompanying Consolidated Balance Sheets.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Stockholders’ Equity / Partners’ Capital</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BXP</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2022, BXP had 156,757,867 shares of Common Stock outstanding.</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2022, BXP owned 1,749,682 general partnership units and 155,008,185 limited partnership units in BPLP.</w:t>
      </w:r>
    </w:p>
    <w:p>
      <w:pPr>
        <w:spacing w:after="0" w:line="148"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On May 22, 2020,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June 2, 2020. BXP intends to use the net proceeds from any offering for general business purposes, which may include investment opportunities and debt reduction. No shares of Common Stock have been issued under this ATM stock offering program.</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December 31, 2022, BXP did not issue any shares of Common Stock upon the exercise of options to purchase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BXP issued 247,920 shares of Common Stock upon the exercise of options to purchase Common Stock.</w:t>
      </w:r>
    </w:p>
    <w:p>
      <w:pPr>
        <w:spacing w:after="0" w:line="148" w:lineRule="exact"/>
        <w:rPr>
          <w:sz w:val="20"/>
          <w:szCs w:val="20"/>
          <w:color w:val="auto"/>
        </w:rPr>
      </w:pPr>
    </w:p>
    <w:p>
      <w:pPr>
        <w:ind w:right="640" w:firstLine="391"/>
        <w:spacing w:after="0" w:line="253" w:lineRule="auto"/>
        <w:rPr>
          <w:sz w:val="20"/>
          <w:szCs w:val="20"/>
          <w:color w:val="auto"/>
        </w:rPr>
      </w:pPr>
      <w:r>
        <w:rPr>
          <w:rFonts w:ascii="Arial" w:cs="Arial" w:eastAsia="Arial" w:hAnsi="Arial"/>
          <w:sz w:val="16"/>
          <w:szCs w:val="16"/>
          <w:color w:val="auto"/>
        </w:rPr>
        <w:t>During the years ended December 31, 2022 and December 31, 2021, BXP issued 182,929 and 523,969 shares of Common Stock, respectively, in connection with the redemption of an equal number of redeemable OP Units from limited partners.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BXP’s dividends per share and BPLP’s distributions per OP Unit and LTIP Unit paid or declared during the years ended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Dividend (Per Share)</w:t>
            </w:r>
          </w:p>
        </w:tc>
        <w:tc>
          <w:tcPr>
            <w:tcW w:w="26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 (Per Unit)</w:t>
            </w:r>
          </w:p>
        </w:tc>
      </w:tr>
      <w:tr>
        <w:trPr>
          <w:trHeight w:val="19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30, 2022</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2023</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September 30, 2022</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31, 2022</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2022</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29, 2022</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March 31, 2022</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29, 2022</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28, 2022</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September 30, 2021</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29, 2021</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30, 2021</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March 31, 2021</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30, 2021</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28, 2021</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September 30, 2020</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30, 2020</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2020</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1"/>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March 31, 2020</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30, 2020</w:t>
            </w:r>
          </w:p>
        </w:tc>
        <w:tc>
          <w:tcPr>
            <w:tcW w:w="2280" w:type="dxa"/>
            <w:vAlign w:val="bottom"/>
          </w:tcPr>
          <w:p>
            <w:pPr>
              <w:jc w:val="right"/>
              <w:spacing w:after="0"/>
              <w:rPr>
                <w:sz w:val="20"/>
                <w:szCs w:val="20"/>
                <w:color w:val="auto"/>
              </w:rPr>
            </w:pPr>
            <w:r>
              <w:rPr>
                <w:rFonts w:ascii="Arial" w:cs="Arial" w:eastAsia="Arial" w:hAnsi="Arial"/>
                <w:sz w:val="16"/>
                <w:szCs w:val="16"/>
                <w:color w:val="auto"/>
              </w:rPr>
              <w:t>$0.98</w:t>
            </w:r>
          </w:p>
        </w:tc>
        <w:tc>
          <w:tcPr>
            <w:tcW w:w="2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2020</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bl>
    <w:p>
      <w:pPr>
        <w:spacing w:after="0" w:line="30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Preferred Stock</w:t>
      </w:r>
    </w:p>
    <w:p>
      <w:pPr>
        <w:spacing w:after="0" w:line="93"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At December 31, 2020, BXP had 80,000 shares (8,000,000 Depositary Shares each representing 1/100th of a share) outstanding of its 5.25% Series B Preferred Stock with a liquidation preference of $2,500.00 per share ($25.00 per Depositary Share). BXP paid cumulative cash dividends on the Series B Preferred Stock at a rate of 5.25% per annum of the $2,500.00 liquidation preference per share. BXP did not have the right to redeem the Series B Preferred Stock prior to March 27, 2018, except in certain circumstances relating to the preservation of BXP’s REIT status. On and after March 27, 2018, BXP, at its option, could redeem the Series B Preferred Stock for a cash redemption price of $2,500.00 per share ($25.00 per Depositary Share), plus all accrued and unpaid dividends. The Series B Preferred Stock was not redeemable by the holders, had no maturity date and was not convertible into any other security of BXP or its affiliates.</w:t>
      </w:r>
    </w:p>
    <w:p>
      <w:pPr>
        <w:spacing w:after="0" w:line="139" w:lineRule="exact"/>
        <w:rPr>
          <w:sz w:val="20"/>
          <w:szCs w:val="20"/>
          <w:color w:val="auto"/>
        </w:rPr>
      </w:pPr>
    </w:p>
    <w:p>
      <w:pPr>
        <w:ind w:right="40" w:firstLine="391"/>
        <w:spacing w:after="0" w:line="286" w:lineRule="auto"/>
        <w:rPr>
          <w:sz w:val="20"/>
          <w:szCs w:val="20"/>
          <w:color w:val="auto"/>
        </w:rPr>
      </w:pPr>
      <w:r>
        <w:rPr>
          <w:rFonts w:ascii="Arial" w:cs="Arial" w:eastAsia="Arial" w:hAnsi="Arial"/>
          <w:sz w:val="15"/>
          <w:szCs w:val="15"/>
          <w:color w:val="auto"/>
        </w:rPr>
        <w:t>On March 2, 2021, BXP issued a redemption notice for 80,000 shares of its 5.25% Series B Cumulative Redeemable Preferred Stock, which constituted all of the outstanding Series B Preferred Stock, and the corresponding depositary shares, each representing 1/100th of a share of Series B Preferred Stock. The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redemption price per share of Series B Preferred Stock was $2,500, plus all accrued and unpaid dividends to, but not including, the redemption date, totaling $2,516.41 per share. On March 31, 2021, the Company transferred the full redemption price for all outstanding shares of Series B Preferred Stock of approximately $201.3 million, including approximately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Statements.</w:t>
      </w:r>
    </w:p>
    <w:p>
      <w:pPr>
        <w:spacing w:after="0" w:line="139" w:lineRule="exact"/>
        <w:rPr>
          <w:sz w:val="20"/>
          <w:szCs w:val="20"/>
          <w:color w:val="auto"/>
        </w:rPr>
      </w:pPr>
    </w:p>
    <w:p>
      <w:pPr>
        <w:ind w:right="60" w:firstLine="391"/>
        <w:spacing w:after="0" w:line="250" w:lineRule="auto"/>
        <w:rPr>
          <w:sz w:val="20"/>
          <w:szCs w:val="20"/>
          <w:color w:val="auto"/>
        </w:rPr>
      </w:pPr>
      <w:r>
        <w:rPr>
          <w:rFonts w:ascii="Arial" w:cs="Arial" w:eastAsia="Arial" w:hAnsi="Arial"/>
          <w:sz w:val="16"/>
          <w:szCs w:val="16"/>
          <w:color w:val="auto"/>
        </w:rPr>
        <w:t>On April 1, 2021, BXP redeemed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BPLP.</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BXP’s dividend per share on its Series B Preferred Stock paid during the years ended December 31, 2021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 Date</w:t>
            </w:r>
          </w:p>
        </w:tc>
        <w:tc>
          <w:tcPr>
            <w:tcW w:w="200" w:type="dxa"/>
            <w:vAlign w:val="bottom"/>
            <w:tcBorders>
              <w:bottom w:val="single" w:sz="8" w:color="CCEEFF"/>
            </w:tcBorders>
          </w:tcPr>
          <w:p>
            <w:pPr>
              <w:spacing w:after="0"/>
              <w:rPr>
                <w:sz w:val="16"/>
                <w:szCs w:val="16"/>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Dividend (Per Share)</w:t>
            </w:r>
          </w:p>
        </w:tc>
      </w:tr>
      <w:tr>
        <w:trPr>
          <w:trHeight w:val="19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5, 2021</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16, 2021</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$32.8125</w:t>
            </w:r>
          </w:p>
        </w:tc>
      </w:tr>
      <w:tr>
        <w:trPr>
          <w:trHeight w:val="201"/>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November 4, 2020</w:t>
            </w: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November 16, 2020</w:t>
            </w:r>
          </w:p>
        </w:tc>
        <w:tc>
          <w:tcPr>
            <w:tcW w:w="2280" w:type="dxa"/>
            <w:vAlign w:val="bottom"/>
          </w:tcPr>
          <w:p>
            <w:pPr>
              <w:jc w:val="right"/>
              <w:spacing w:after="0"/>
              <w:rPr>
                <w:sz w:val="20"/>
                <w:szCs w:val="20"/>
                <w:color w:val="auto"/>
              </w:rPr>
            </w:pPr>
            <w:r>
              <w:rPr>
                <w:rFonts w:ascii="Arial" w:cs="Arial" w:eastAsia="Arial" w:hAnsi="Arial"/>
                <w:sz w:val="16"/>
                <w:szCs w:val="16"/>
                <w:color w:val="auto"/>
              </w:rPr>
              <w:t>$32.8125</w:t>
            </w:r>
          </w:p>
        </w:tc>
      </w:tr>
      <w:tr>
        <w:trPr>
          <w:trHeight w:val="20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3, 2020</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17, 2020</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$32.8125</w:t>
            </w:r>
          </w:p>
        </w:tc>
      </w:tr>
      <w:tr>
        <w:trPr>
          <w:trHeight w:val="201"/>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May 1, 2020</w:t>
            </w: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May 15, 2020</w:t>
            </w:r>
          </w:p>
        </w:tc>
        <w:tc>
          <w:tcPr>
            <w:tcW w:w="2280" w:type="dxa"/>
            <w:vAlign w:val="bottom"/>
          </w:tcPr>
          <w:p>
            <w:pPr>
              <w:jc w:val="right"/>
              <w:spacing w:after="0"/>
              <w:rPr>
                <w:sz w:val="20"/>
                <w:szCs w:val="20"/>
                <w:color w:val="auto"/>
              </w:rPr>
            </w:pPr>
            <w:r>
              <w:rPr>
                <w:rFonts w:ascii="Arial" w:cs="Arial" w:eastAsia="Arial" w:hAnsi="Arial"/>
                <w:sz w:val="16"/>
                <w:szCs w:val="16"/>
                <w:color w:val="auto"/>
              </w:rPr>
              <w:t>$32.8125</w:t>
            </w:r>
          </w:p>
        </w:tc>
      </w:tr>
      <w:tr>
        <w:trPr>
          <w:trHeight w:val="20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4, 2020</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18, 2020</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$32.8125</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Segment Information</w:t>
      </w:r>
    </w:p>
    <w:p>
      <w:pPr>
        <w:spacing w:after="0" w:line="109" w:lineRule="exact"/>
        <w:rPr>
          <w:sz w:val="20"/>
          <w:szCs w:val="20"/>
          <w:color w:val="auto"/>
        </w:rPr>
      </w:pPr>
    </w:p>
    <w:p>
      <w:pPr>
        <w:ind w:right="80" w:firstLine="391"/>
        <w:spacing w:after="0" w:line="250" w:lineRule="auto"/>
        <w:rPr>
          <w:sz w:val="20"/>
          <w:szCs w:val="20"/>
          <w:color w:val="auto"/>
        </w:rPr>
      </w:pPr>
      <w:r>
        <w:rPr>
          <w:rFonts w:ascii="Arial" w:cs="Arial" w:eastAsia="Arial" w:hAnsi="Arial"/>
          <w:sz w:val="16"/>
          <w:szCs w:val="16"/>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years ended December 31, 2022, 2021 and 2020.</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848,947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496,223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862,227</w:t>
            </w:r>
          </w:p>
        </w:tc>
        <w:tc>
          <w:tcPr>
            <w:tcW w:w="0" w:type="dxa"/>
            <w:vAlign w:val="bottom"/>
          </w:tcPr>
          <w:p>
            <w:pPr>
              <w:spacing w:after="0"/>
              <w:rPr>
                <w:sz w:val="1"/>
                <w:szCs w:val="1"/>
                <w:color w:val="auto"/>
              </w:rPr>
            </w:pPr>
          </w:p>
        </w:tc>
      </w:tr>
      <w:tr>
        <w:trPr>
          <w:trHeight w:val="201"/>
        </w:trPr>
        <w:tc>
          <w:tcPr>
            <w:tcW w:w="684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redemption charge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6,412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Preferred dividends</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2,560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10,500</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96,780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55,931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97,704</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74,857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70,806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48,260</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437,139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423,346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431,717</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Losses from early extinguishment of debt</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45,182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loss on non-real estate investment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Net operating income from unconsolidated joint ventures</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146,081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107,756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94,943</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unconsolidated joint ventures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59,840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85,110</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749,775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717,336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683,751</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Transaction costs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5,036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Payroll and related costs from management services contracts</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15,450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12,487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11,626</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146,378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151,573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133,112</w:t>
            </w:r>
          </w:p>
        </w:tc>
        <w:tc>
          <w:tcPr>
            <w:tcW w:w="0" w:type="dxa"/>
            <w:vAlign w:val="bottom"/>
          </w:tcPr>
          <w:p>
            <w:pPr>
              <w:spacing w:after="0"/>
              <w:rPr>
                <w:sz w:val="1"/>
                <w:szCs w:val="1"/>
                <w:color w:val="auto"/>
              </w:rPr>
            </w:pPr>
          </w:p>
        </w:tc>
      </w:tr>
      <w:tr>
        <w:trPr>
          <w:trHeight w:val="201"/>
        </w:trPr>
        <w:tc>
          <w:tcPr>
            <w:tcW w:w="6840" w:type="dxa"/>
            <w:vAlign w:val="bottom"/>
          </w:tcPr>
          <w:p>
            <w:pPr>
              <w:ind w:left="2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attributable to noncontrolling interests in property partnerships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191,812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186,304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162,887</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Gains (losses) from investments in securities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5,626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5,261</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 - assignment fee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Interest and other income (loss)</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11,940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5,704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5,953</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sales-type lease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10,058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6"/>
                <w:szCs w:val="16"/>
                <w:color w:val="auto"/>
              </w:rPr>
              <w:t>Gains on sales of real estate</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437,019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123,660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618,982</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11,626</w:t>
            </w:r>
          </w:p>
        </w:tc>
        <w:tc>
          <w:tcPr>
            <w:tcW w:w="0" w:type="dxa"/>
            <w:vAlign w:val="bottom"/>
          </w:tcPr>
          <w:p>
            <w:pPr>
              <w:spacing w:after="0"/>
              <w:rPr>
                <w:sz w:val="1"/>
                <w:szCs w:val="1"/>
                <w:color w:val="auto"/>
              </w:rPr>
            </w:pPr>
          </w:p>
        </w:tc>
      </w:tr>
      <w:tr>
        <w:trPr>
          <w:trHeight w:val="201"/>
        </w:trPr>
        <w:tc>
          <w:tcPr>
            <w:tcW w:w="68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Development and management services revenue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28,056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27,697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29,641</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Company’s share of Net Operating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1,883,796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1,735,740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1,626,131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6"/>
                <w:szCs w:val="16"/>
                <w:color w:val="auto"/>
              </w:rPr>
              <w:t>166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6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4"/>
        </w:trPr>
        <w:tc>
          <w:tcPr>
            <w:tcW w:w="6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181"/>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 common unitholders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957,265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561,993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979,979</w:t>
            </w:r>
          </w:p>
        </w:tc>
      </w:tr>
      <w:tr>
        <w:trPr>
          <w:trHeight w:val="201"/>
        </w:trPr>
        <w:tc>
          <w:tcPr>
            <w:tcW w:w="686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unit redemption charge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6,412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Preferred distributions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2,560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10,500</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Noncontrolling interests in property partnerships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70,806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48,260</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437,139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423,346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431,717</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Losses from early extinguishment of debt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45,182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Unrealized loss on non-real estate investment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from unconsolidated joint ventures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107,756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94,943</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Loss from unconsolidated joint ventures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2,570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85,110</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742,293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709,035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676,666</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5,036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1,531</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Payroll and related costs from management services contracts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11,626</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146,378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151,573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133,112</w:t>
            </w:r>
          </w:p>
        </w:tc>
      </w:tr>
      <w:tr>
        <w:trPr>
          <w:trHeight w:val="20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Net operating income attributable to noncontrolling interests in property partnerships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191,812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186,304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162,887</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(losses) from investments in securities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5,626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5,261</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Other income - assignment fee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and other income (loss)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5,704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5,953</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Gain on sales-type lease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on sales of real estate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125,198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631,945</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12,487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11,626</w:t>
            </w:r>
          </w:p>
        </w:tc>
      </w:tr>
      <w:tr>
        <w:trPr>
          <w:trHeight w:val="202"/>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Development and management services revenue</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28,056</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27,697</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29,641</w:t>
            </w:r>
          </w:p>
        </w:tc>
      </w:tr>
      <w:tr>
        <w:trPr>
          <w:trHeight w:val="193"/>
        </w:trPr>
        <w:tc>
          <w:tcPr>
            <w:tcW w:w="6860" w:type="dxa"/>
            <w:vAlign w:val="bottom"/>
          </w:tcPr>
          <w:p>
            <w:pPr>
              <w:ind w:left="20"/>
              <w:spacing w:after="0" w:line="180" w:lineRule="exact"/>
              <w:rPr>
                <w:sz w:val="20"/>
                <w:szCs w:val="20"/>
                <w:color w:val="auto"/>
              </w:rPr>
            </w:pPr>
            <w:r>
              <w:rPr>
                <w:rFonts w:ascii="Arial" w:cs="Arial" w:eastAsia="Arial" w:hAnsi="Arial"/>
                <w:sz w:val="16"/>
                <w:szCs w:val="16"/>
                <w:color w:val="auto"/>
              </w:rPr>
              <w:t>Company’s share of Net Operating Income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1,883,796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1,735,740</w:t>
            </w:r>
          </w:p>
        </w:tc>
        <w:tc>
          <w:tcPr>
            <w:tcW w:w="200" w:type="dxa"/>
            <w:vAlign w:val="bottom"/>
          </w:tcPr>
          <w:p>
            <w:pPr>
              <w:spacing w:after="0"/>
              <w:rPr>
                <w:sz w:val="16"/>
                <w:szCs w:val="16"/>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1,626,131</w:t>
            </w:r>
          </w:p>
        </w:tc>
      </w:tr>
      <w:tr>
        <w:trPr>
          <w:trHeight w:val="20"/>
        </w:trPr>
        <w:tc>
          <w:tcPr>
            <w:tcW w:w="6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20" w:firstLine="391"/>
        <w:spacing w:after="0" w:line="247" w:lineRule="auto"/>
        <w:rPr>
          <w:sz w:val="20"/>
          <w:szCs w:val="20"/>
          <w:color w:val="auto"/>
        </w:rPr>
      </w:pPr>
      <w:r>
        <w:rPr>
          <w:rFonts w:ascii="Arial" w:cs="Arial" w:eastAsia="Arial" w:hAnsi="Arial"/>
          <w:sz w:val="16"/>
          <w:szCs w:val="16"/>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unrealized loss on non-real estate investment, net operating income from unconsolidated joint ventures, loss from unconsolidated joint ventures,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sales-type lease, gains on sales of real estate,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auto"/>
        </w:rPr>
        <w:t>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136" w:lineRule="exact"/>
        <w:rPr>
          <w:sz w:val="20"/>
          <w:szCs w:val="20"/>
          <w:color w:val="auto"/>
        </w:rPr>
      </w:pPr>
    </w:p>
    <w:p>
      <w:pPr>
        <w:ind w:right="20" w:firstLine="391"/>
        <w:spacing w:after="0" w:line="265" w:lineRule="auto"/>
        <w:rPr>
          <w:sz w:val="20"/>
          <w:szCs w:val="20"/>
          <w:color w:val="auto"/>
        </w:rPr>
      </w:pPr>
      <w:r>
        <w:rPr>
          <w:rFonts w:ascii="Arial" w:cs="Arial" w:eastAsia="Arial" w:hAnsi="Arial"/>
          <w:sz w:val="15"/>
          <w:szCs w:val="15"/>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losses from early extinguishment of debt from unconsolidated joint ventures, gains on sales of real estate from unconsolidated joint ventures and gain on sale of investment from unconsolidated joint ventures, both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31"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unrealized loss on non-real estate investment, loss from unconsolidated joint ventures, depreciation and amortization expense, transaction costs, payroll and related costs from management services contracts, corporate general and administrative expense, gains (losses) from investments in securities, other income - assignment fee, interest and other income (loss), gain on sales-type lease, gains on sales of real estate,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139" w:lineRule="exact"/>
        <w:rPr>
          <w:sz w:val="20"/>
          <w:szCs w:val="20"/>
          <w:color w:val="auto"/>
        </w:rPr>
      </w:pPr>
    </w:p>
    <w:p>
      <w:pPr>
        <w:ind w:right="100" w:firstLine="391"/>
        <w:spacing w:after="0" w:line="248" w:lineRule="auto"/>
        <w:rPr>
          <w:sz w:val="20"/>
          <w:szCs w:val="20"/>
          <w:color w:val="auto"/>
        </w:rPr>
      </w:pPr>
      <w:r>
        <w:rPr>
          <w:rFonts w:ascii="Arial" w:cs="Arial" w:eastAsia="Arial" w:hAnsi="Arial"/>
          <w:sz w:val="16"/>
          <w:szCs w:val="16"/>
          <w:color w:val="auto"/>
        </w:rPr>
        <w:t>The Company’s segments are based on the Company’s method of internal reporting which classifies its operations by geographic area. The Company’s segments by geographic area are Boston, Los Angeles, New York, San Francisco, Seattle and Washington, DC. On September 1, 2021, the Company invested in a joint venture that acquired Safeco Plaza located in Seattle, Washington. As such, the Seattle region was identified as a segment during the third quarter of 2021. The Company also presents information for each segment by property type, including Premier Workplace (which includes office, life sciences and retail), Residential and Hotel.</w:t>
      </w:r>
    </w:p>
    <w:p>
      <w:pPr>
        <w:spacing w:after="0" w:line="140" w:lineRule="exact"/>
        <w:rPr>
          <w:sz w:val="20"/>
          <w:szCs w:val="20"/>
          <w:color w:val="auto"/>
        </w:rPr>
      </w:pPr>
    </w:p>
    <w:p>
      <w:pPr>
        <w:ind w:right="360" w:firstLine="391"/>
        <w:spacing w:after="0" w:line="253" w:lineRule="auto"/>
        <w:rPr>
          <w:sz w:val="20"/>
          <w:szCs w:val="20"/>
          <w:color w:val="auto"/>
        </w:rPr>
      </w:pPr>
      <w:r>
        <w:rPr>
          <w:rFonts w:ascii="Arial" w:cs="Arial" w:eastAsia="Arial" w:hAnsi="Arial"/>
          <w:sz w:val="16"/>
          <w:szCs w:val="16"/>
          <w:color w:val="auto"/>
        </w:rPr>
        <w:t>Parking and other revenue for the year ended December 31, 2022 increased by approximately $25.4 million compared to 2021. These increases were primarily in transient and monthly parking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by geographic area and property type (dollars in thousands):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Boston</w:t>
            </w: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Los Angeles</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New York</w:t>
            </w: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San Francisco</w:t>
            </w: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Seattle</w:t>
            </w: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Washington, DC</w:t>
            </w:r>
          </w:p>
        </w:tc>
        <w:tc>
          <w:tcPr>
            <w:tcW w:w="280" w:type="dxa"/>
            <w:vAlign w:val="bottom"/>
          </w:tcPr>
          <w:p>
            <w:pPr>
              <w:spacing w:after="0"/>
              <w:rPr>
                <w:sz w:val="15"/>
                <w:szCs w:val="15"/>
                <w:color w:val="auto"/>
              </w:rPr>
            </w:pPr>
          </w:p>
        </w:tc>
        <w:tc>
          <w:tcPr>
            <w:tcW w:w="98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r>
      <w:tr>
        <w:trPr>
          <w:trHeight w:val="173"/>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Rental Revenue: (1)</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1,005,156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1,031,479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534,397</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31,978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365,402</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2,968,412</w:t>
            </w:r>
          </w:p>
        </w:tc>
      </w:tr>
      <w:tr>
        <w:trPr>
          <w:trHeight w:val="192"/>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15,086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14,769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57,181</w:t>
            </w:r>
          </w:p>
        </w:tc>
      </w:tr>
      <w:tr>
        <w:trPr>
          <w:trHeight w:val="187"/>
        </w:trPr>
        <w:tc>
          <w:tcPr>
            <w:tcW w:w="22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39,482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39,482</w:t>
            </w:r>
          </w:p>
        </w:tc>
      </w:tr>
      <w:tr>
        <w:trPr>
          <w:trHeight w:val="184"/>
        </w:trPr>
        <w:tc>
          <w:tcPr>
            <w:tcW w:w="22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1,059,724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1,031,479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549,166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31,978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392,728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3,065,075</w:t>
            </w:r>
          </w:p>
        </w:tc>
      </w:tr>
      <w:tr>
        <w:trPr>
          <w:trHeight w:val="179"/>
        </w:trPr>
        <w:tc>
          <w:tcPr>
            <w:tcW w:w="2260" w:type="dxa"/>
            <w:vAlign w:val="bottom"/>
          </w:tcPr>
          <w:p>
            <w:pPr>
              <w:ind w:left="20"/>
              <w:spacing w:after="0"/>
              <w:rPr>
                <w:sz w:val="20"/>
                <w:szCs w:val="20"/>
                <w:color w:val="auto"/>
              </w:rPr>
            </w:pPr>
            <w:r>
              <w:rPr>
                <w:rFonts w:ascii="Arial" w:cs="Arial" w:eastAsia="Arial" w:hAnsi="Arial"/>
                <w:sz w:val="14"/>
                <w:szCs w:val="14"/>
                <w:color w:val="auto"/>
              </w:rPr>
              <w:t>% of Grand Totals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33.65 %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Expenses: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2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360,218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391,293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183,353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8,386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135,237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1,078,487</w:t>
            </w:r>
          </w:p>
        </w:tc>
      </w:tr>
      <w:tr>
        <w:trPr>
          <w:trHeight w:val="192"/>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11,371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12,251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29,583</w:t>
            </w:r>
          </w:p>
        </w:tc>
      </w:tr>
      <w:tr>
        <w:trPr>
          <w:trHeight w:val="187"/>
        </w:trPr>
        <w:tc>
          <w:tcPr>
            <w:tcW w:w="22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27,478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27,478</w:t>
            </w:r>
          </w:p>
        </w:tc>
      </w:tr>
      <w:tr>
        <w:trPr>
          <w:trHeight w:val="184"/>
        </w:trPr>
        <w:tc>
          <w:tcPr>
            <w:tcW w:w="22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393,657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391,293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194,724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8,386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147,488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1,135,548</w:t>
            </w:r>
          </w:p>
        </w:tc>
      </w:tr>
      <w:tr>
        <w:trPr>
          <w:trHeight w:val="17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of Grand Totals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w w:val="98"/>
              </w:rPr>
              <w:t>— %</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34.46 %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17.15 %</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0.74 %</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1"/>
        </w:trPr>
        <w:tc>
          <w:tcPr>
            <w:tcW w:w="2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666,067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640,186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354,442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23,592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245,240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1,929,527</w:t>
            </w:r>
          </w:p>
        </w:tc>
      </w:tr>
    </w:tbl>
    <w:p>
      <w:pPr>
        <w:spacing w:after="0" w:line="2" w:lineRule="exact"/>
        <w:rPr>
          <w:sz w:val="20"/>
          <w:szCs w:val="20"/>
          <w:color w:val="auto"/>
        </w:rPr>
      </w:pPr>
    </w:p>
    <w:p>
      <w:pPr>
        <w:sectPr>
          <w:pgSz w:w="11900" w:h="16838" w:orient="portrait"/>
          <w:cols w:equalWidth="0" w:num="1">
            <w:col w:w="11260"/>
          </w:cols>
          <w:pgMar w:left="320" w:top="281" w:right="319" w:bottom="1440" w:gutter="0" w:footer="0" w:header="0"/>
        </w:sectPr>
      </w:pPr>
    </w:p>
    <w:p>
      <w:pPr>
        <w:ind w:left="20"/>
        <w:spacing w:after="0"/>
        <w:rPr>
          <w:sz w:val="20"/>
          <w:szCs w:val="20"/>
          <w:color w:val="auto"/>
        </w:rPr>
      </w:pPr>
      <w:r>
        <w:rPr>
          <w:rFonts w:ascii="Arial" w:cs="Arial" w:eastAsia="Arial" w:hAnsi="Arial"/>
          <w:sz w:val="14"/>
          <w:szCs w:val="14"/>
          <w:color w:val="auto"/>
        </w:rPr>
        <w:t>% of Grand Totals</w:t>
      </w:r>
    </w:p>
    <w:p>
      <w:pPr>
        <w:spacing w:after="0" w:line="40" w:lineRule="exact"/>
        <w:rPr>
          <w:sz w:val="20"/>
          <w:szCs w:val="20"/>
          <w:color w:val="auto"/>
        </w:rPr>
      </w:pPr>
    </w:p>
    <w:p>
      <w:pPr>
        <w:ind w:left="360" w:right="200" w:hanging="354"/>
        <w:spacing w:after="0" w:line="222" w:lineRule="auto"/>
        <w:rPr>
          <w:sz w:val="20"/>
          <w:szCs w:val="20"/>
          <w:color w:val="auto"/>
        </w:rPr>
      </w:pPr>
      <w:r>
        <w:rPr>
          <w:rFonts w:ascii="Arial" w:cs="Arial" w:eastAsia="Arial" w:hAnsi="Arial"/>
          <w:sz w:val="14"/>
          <w:szCs w:val="14"/>
          <w:color w:val="auto"/>
        </w:rPr>
        <w:t>Less: Net operating income attributable to noncontrolling interests in property partnerships</w:t>
      </w:r>
    </w:p>
    <w:p>
      <w:pPr>
        <w:spacing w:after="0" w:line="21" w:lineRule="exact"/>
        <w:rPr>
          <w:sz w:val="20"/>
          <w:szCs w:val="20"/>
          <w:color w:val="auto"/>
        </w:rPr>
      </w:pPr>
    </w:p>
    <w:p>
      <w:pPr>
        <w:ind w:left="360" w:right="160" w:hanging="354"/>
        <w:spacing w:after="0" w:line="226" w:lineRule="auto"/>
        <w:rPr>
          <w:sz w:val="20"/>
          <w:szCs w:val="20"/>
          <w:color w:val="auto"/>
        </w:rPr>
      </w:pPr>
      <w:r>
        <w:rPr>
          <w:rFonts w:ascii="Arial" w:cs="Arial" w:eastAsia="Arial" w:hAnsi="Arial"/>
          <w:sz w:val="14"/>
          <w:szCs w:val="14"/>
          <w:color w:val="auto"/>
        </w:rPr>
        <w:t>Add: Company’s share of net operating income (loss) from unconsolidated joint ventures</w:t>
      </w:r>
    </w:p>
    <w:p>
      <w:pPr>
        <w:ind w:left="20"/>
        <w:spacing w:after="0" w:line="220" w:lineRule="auto"/>
        <w:rPr>
          <w:sz w:val="20"/>
          <w:szCs w:val="20"/>
          <w:color w:val="auto"/>
        </w:rPr>
      </w:pPr>
      <w:r>
        <w:rPr>
          <w:rFonts w:ascii="Arial" w:cs="Arial" w:eastAsia="Arial" w:hAnsi="Arial"/>
          <w:sz w:val="14"/>
          <w:szCs w:val="14"/>
          <w:color w:val="auto"/>
        </w:rPr>
        <w:t>Company’s share of net operating</w:t>
      </w:r>
    </w:p>
    <w:p>
      <w:pPr>
        <w:ind w:left="160"/>
        <w:spacing w:after="0"/>
        <w:tabs>
          <w:tab w:leader="none" w:pos="226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ind w:left="180" w:hanging="169"/>
        <w:spacing w:after="0"/>
        <w:tabs>
          <w:tab w:leader="none" w:pos="1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of Grand Totals</w:t>
      </w:r>
    </w:p>
    <w:p>
      <w:pPr>
        <w:spacing w:after="0" w:line="11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34.52 %</w:t>
            </w:r>
          </w:p>
        </w:tc>
        <w:tc>
          <w:tcPr>
            <w:tcW w:w="3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33.18 %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616"/>
        </w:trPr>
        <w:tc>
          <w:tcPr>
            <w:tcW w:w="800" w:type="dxa"/>
            <w:vAlign w:val="bottom"/>
          </w:tcPr>
          <w:p>
            <w:pPr>
              <w:jc w:val="right"/>
              <w:ind w:right="169"/>
              <w:spacing w:after="0"/>
              <w:rPr>
                <w:sz w:val="20"/>
                <w:szCs w:val="20"/>
                <w:color w:val="auto"/>
              </w:rPr>
            </w:pPr>
            <w:r>
              <w:rPr>
                <w:rFonts w:ascii="Arial" w:cs="Arial" w:eastAsia="Arial" w:hAnsi="Arial"/>
                <w:sz w:val="14"/>
                <w:szCs w:val="14"/>
                <w:color w:val="auto"/>
              </w:rPr>
              <w:t>(45,822)</w:t>
            </w:r>
          </w:p>
        </w:tc>
        <w:tc>
          <w:tcPr>
            <w:tcW w:w="3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(145,990)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(191,812)</w:t>
            </w:r>
          </w:p>
        </w:tc>
      </w:tr>
      <w:tr>
        <w:trPr>
          <w:trHeight w:val="477"/>
        </w:trPr>
        <w:tc>
          <w:tcPr>
            <w:tcW w:w="800" w:type="dxa"/>
            <w:vAlign w:val="bottom"/>
          </w:tcPr>
          <w:p>
            <w:pPr>
              <w:jc w:val="right"/>
              <w:ind w:right="209"/>
              <w:spacing w:after="0"/>
              <w:rPr>
                <w:sz w:val="20"/>
                <w:szCs w:val="20"/>
                <w:color w:val="auto"/>
              </w:rPr>
            </w:pPr>
            <w:r>
              <w:rPr>
                <w:rFonts w:ascii="Arial" w:cs="Arial" w:eastAsia="Arial" w:hAnsi="Arial"/>
                <w:sz w:val="14"/>
                <w:szCs w:val="14"/>
                <w:color w:val="auto"/>
              </w:rPr>
              <w:t>34,233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53,023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1,594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12,785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7,690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36,756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146,081</w:t>
            </w:r>
          </w:p>
        </w:tc>
      </w:tr>
      <w:tr>
        <w:trPr>
          <w:trHeight w:val="288"/>
        </w:trPr>
        <w:tc>
          <w:tcPr>
            <w:tcW w:w="800" w:type="dxa"/>
            <w:vAlign w:val="bottom"/>
          </w:tcPr>
          <w:p>
            <w:pPr>
              <w:jc w:val="right"/>
              <w:ind w:right="209"/>
              <w:spacing w:after="0"/>
              <w:rPr>
                <w:sz w:val="20"/>
                <w:szCs w:val="20"/>
                <w:color w:val="auto"/>
              </w:rPr>
            </w:pPr>
            <w:r>
              <w:rPr>
                <w:rFonts w:ascii="Arial" w:cs="Arial" w:eastAsia="Arial" w:hAnsi="Arial"/>
                <w:sz w:val="14"/>
                <w:szCs w:val="14"/>
                <w:color w:val="auto"/>
                <w:w w:val="98"/>
              </w:rPr>
              <w:t>654,478</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53,023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495,790</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367,227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31,282</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281,996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1,883,796</w:t>
            </w:r>
          </w:p>
        </w:tc>
      </w:tr>
      <w:tr>
        <w:trPr>
          <w:trHeight w:val="20"/>
        </w:trPr>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4"/>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34.75 %</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26.32 %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19.49 %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14.97 %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-1034415</wp:posOffset>
            </wp:positionV>
            <wp:extent cx="7148830" cy="391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830" cy="39116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-342265</wp:posOffset>
            </wp:positionV>
            <wp:extent cx="7148830" cy="2260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830" cy="22606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2360" w:space="400"/>
            <w:col w:w="8500"/>
          </w:cols>
          <w:pgMar w:left="320" w:top="281" w:right="319" w:bottom="1440" w:gutter="0" w:footer="0" w:header="0"/>
          <w:type w:val="continuous"/>
        </w:sectPr>
      </w:pPr>
    </w:p>
    <w:p>
      <w:pPr>
        <w:ind w:left="560" w:right="60" w:hanging="281"/>
        <w:spacing w:after="0" w:line="261" w:lineRule="auto"/>
        <w:tabs>
          <w:tab w:leader="none" w:pos="55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Boston</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Los Angeles</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New York</w:t>
            </w: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San Francisco</w:t>
            </w:r>
          </w:p>
        </w:tc>
        <w:tc>
          <w:tcPr>
            <w:tcW w:w="18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Seattle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Washington, DC</w:t>
            </w:r>
          </w:p>
        </w:tc>
        <w:tc>
          <w:tcPr>
            <w:tcW w:w="260" w:type="dxa"/>
            <w:vAlign w:val="bottom"/>
          </w:tcPr>
          <w:p>
            <w:pPr>
              <w:spacing w:after="0"/>
              <w:rPr>
                <w:sz w:val="15"/>
                <w:szCs w:val="15"/>
                <w:color w:val="auto"/>
              </w:rPr>
            </w:pPr>
          </w:p>
        </w:tc>
        <w:tc>
          <w:tcPr>
            <w:tcW w:w="980" w:type="dxa"/>
            <w:vAlign w:val="bottom"/>
          </w:tcPr>
          <w:p>
            <w:pPr>
              <w:jc w:val="right"/>
              <w:ind w:right="389"/>
              <w:spacing w:after="0"/>
              <w:rPr>
                <w:sz w:val="20"/>
                <w:szCs w:val="20"/>
                <w:color w:val="auto"/>
              </w:rPr>
            </w:pPr>
            <w:r>
              <w:rPr>
                <w:rFonts w:ascii="Arial" w:cs="Arial" w:eastAsia="Arial" w:hAnsi="Arial"/>
                <w:sz w:val="13"/>
                <w:szCs w:val="13"/>
                <w:b w:val="1"/>
                <w:bCs w:val="1"/>
                <w:color w:val="auto"/>
              </w:rPr>
              <w:t>Total</w:t>
            </w:r>
          </w:p>
        </w:tc>
      </w:tr>
      <w:tr>
        <w:trPr>
          <w:trHeight w:val="17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Rental Revenue: (1)</w:t>
            </w: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930,560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1,012,172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508,620</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340,808</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2,792,160</w:t>
            </w:r>
          </w:p>
        </w:tc>
      </w:tr>
      <w:tr>
        <w:trPr>
          <w:trHeight w:val="192"/>
        </w:trPr>
        <w:tc>
          <w:tcPr>
            <w:tcW w:w="2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13,397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25,379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42,668</w:t>
            </w:r>
          </w:p>
        </w:tc>
      </w:tr>
      <w:tr>
        <w:trPr>
          <w:trHeight w:val="187"/>
        </w:trPr>
        <w:tc>
          <w:tcPr>
            <w:tcW w:w="22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13,609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13,609</w:t>
            </w:r>
          </w:p>
        </w:tc>
      </w:tr>
      <w:tr>
        <w:trPr>
          <w:trHeight w:val="184"/>
        </w:trPr>
        <w:tc>
          <w:tcPr>
            <w:tcW w:w="22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957,566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1,012,172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512,512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366,187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2,848,437</w:t>
            </w:r>
          </w:p>
        </w:tc>
      </w:tr>
      <w:tr>
        <w:trPr>
          <w:trHeight w:val="179"/>
        </w:trPr>
        <w:tc>
          <w:tcPr>
            <w:tcW w:w="2240" w:type="dxa"/>
            <w:vAlign w:val="bottom"/>
          </w:tcPr>
          <w:p>
            <w:pPr>
              <w:ind w:left="20"/>
              <w:spacing w:after="0"/>
              <w:rPr>
                <w:sz w:val="20"/>
                <w:szCs w:val="20"/>
                <w:color w:val="auto"/>
              </w:rPr>
            </w:pPr>
            <w:r>
              <w:rPr>
                <w:rFonts w:ascii="Arial" w:cs="Arial" w:eastAsia="Arial" w:hAnsi="Arial"/>
                <w:sz w:val="14"/>
                <w:szCs w:val="14"/>
                <w:color w:val="auto"/>
              </w:rPr>
              <w:t>% of Grand Totals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33.62 %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12.86 %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Expenses: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322,298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379,267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168,040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127,102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996,707</w:t>
            </w:r>
          </w:p>
        </w:tc>
      </w:tr>
      <w:tr>
        <w:trPr>
          <w:trHeight w:val="192"/>
        </w:trPr>
        <w:tc>
          <w:tcPr>
            <w:tcW w:w="2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11,916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24,444</w:t>
            </w:r>
          </w:p>
        </w:tc>
      </w:tr>
      <w:tr>
        <w:trPr>
          <w:trHeight w:val="187"/>
        </w:trPr>
        <w:tc>
          <w:tcPr>
            <w:tcW w:w="22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12,998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12,998</w:t>
            </w:r>
          </w:p>
        </w:tc>
      </w:tr>
      <w:tr>
        <w:trPr>
          <w:trHeight w:val="184"/>
        </w:trPr>
        <w:tc>
          <w:tcPr>
            <w:tcW w:w="22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341,107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379,267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174,757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139,018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1,034,149</w:t>
            </w:r>
          </w:p>
        </w:tc>
      </w:tr>
      <w:tr>
        <w:trPr>
          <w:trHeight w:val="179"/>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of Grand Totals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32.98 %</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98"/>
              </w:rPr>
              <w:t>— %</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16.90 %</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1"/>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616,459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632,905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337,755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227,169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1,814,288</w:t>
            </w:r>
          </w:p>
        </w:tc>
      </w:tr>
    </w:tbl>
    <w:p>
      <w:pPr>
        <w:spacing w:after="0" w:line="2" w:lineRule="exact"/>
        <w:rPr>
          <w:sz w:val="20"/>
          <w:szCs w:val="20"/>
          <w:color w:val="auto"/>
        </w:rPr>
      </w:pPr>
    </w:p>
    <w:p>
      <w:pPr>
        <w:sectPr>
          <w:pgSz w:w="11900" w:h="16838" w:orient="portrait"/>
          <w:cols w:equalWidth="0" w:num="1">
            <w:col w:w="11260"/>
          </w:cols>
          <w:pgMar w:left="320" w:top="282" w:right="319" w:bottom="1440" w:gutter="0" w:footer="0" w:header="0"/>
        </w:sectPr>
      </w:pPr>
    </w:p>
    <w:p>
      <w:pPr>
        <w:ind w:left="20"/>
        <w:spacing w:after="0"/>
        <w:rPr>
          <w:sz w:val="20"/>
          <w:szCs w:val="20"/>
          <w:color w:val="auto"/>
        </w:rPr>
      </w:pPr>
      <w:r>
        <w:rPr>
          <w:rFonts w:ascii="Arial" w:cs="Arial" w:eastAsia="Arial" w:hAnsi="Arial"/>
          <w:sz w:val="14"/>
          <w:szCs w:val="14"/>
          <w:color w:val="auto"/>
        </w:rPr>
        <w:t>% of Grand Totals</w:t>
      </w:r>
    </w:p>
    <w:p>
      <w:pPr>
        <w:spacing w:after="0" w:line="40" w:lineRule="exact"/>
        <w:rPr>
          <w:sz w:val="20"/>
          <w:szCs w:val="20"/>
          <w:color w:val="auto"/>
        </w:rPr>
      </w:pPr>
    </w:p>
    <w:p>
      <w:pPr>
        <w:ind w:left="360" w:right="180" w:hanging="354"/>
        <w:spacing w:after="0" w:line="222" w:lineRule="auto"/>
        <w:rPr>
          <w:sz w:val="20"/>
          <w:szCs w:val="20"/>
          <w:color w:val="auto"/>
        </w:rPr>
      </w:pPr>
      <w:r>
        <w:rPr>
          <w:rFonts w:ascii="Arial" w:cs="Arial" w:eastAsia="Arial" w:hAnsi="Arial"/>
          <w:sz w:val="14"/>
          <w:szCs w:val="14"/>
          <w:color w:val="auto"/>
        </w:rPr>
        <w:t>Less: Net operating income attributable to noncontrolling interests in property partnerships</w:t>
      </w:r>
    </w:p>
    <w:p>
      <w:pPr>
        <w:spacing w:after="0" w:line="21" w:lineRule="exact"/>
        <w:rPr>
          <w:sz w:val="20"/>
          <w:szCs w:val="20"/>
          <w:color w:val="auto"/>
        </w:rPr>
      </w:pPr>
    </w:p>
    <w:p>
      <w:pPr>
        <w:ind w:left="360" w:right="140" w:hanging="354"/>
        <w:spacing w:after="0" w:line="226" w:lineRule="auto"/>
        <w:rPr>
          <w:sz w:val="20"/>
          <w:szCs w:val="20"/>
          <w:color w:val="auto"/>
        </w:rPr>
      </w:pPr>
      <w:r>
        <w:rPr>
          <w:rFonts w:ascii="Arial" w:cs="Arial" w:eastAsia="Arial" w:hAnsi="Arial"/>
          <w:sz w:val="14"/>
          <w:szCs w:val="14"/>
          <w:color w:val="auto"/>
        </w:rPr>
        <w:t>Add: Company’s share of net operating income (loss) from unconsolidated joint ventures</w:t>
      </w:r>
    </w:p>
    <w:p>
      <w:pPr>
        <w:ind w:left="20"/>
        <w:spacing w:after="0" w:line="220" w:lineRule="auto"/>
        <w:rPr>
          <w:sz w:val="20"/>
          <w:szCs w:val="20"/>
          <w:color w:val="auto"/>
        </w:rPr>
      </w:pPr>
      <w:r>
        <w:rPr>
          <w:rFonts w:ascii="Arial" w:cs="Arial" w:eastAsia="Arial" w:hAnsi="Arial"/>
          <w:sz w:val="14"/>
          <w:szCs w:val="14"/>
          <w:color w:val="auto"/>
        </w:rPr>
        <w:t>Company’s share of net operating</w:t>
      </w:r>
    </w:p>
    <w:p>
      <w:pPr>
        <w:ind w:left="160"/>
        <w:spacing w:after="0"/>
        <w:tabs>
          <w:tab w:leader="none" w:pos="224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ind w:left="180" w:hanging="169"/>
        <w:spacing w:after="0"/>
        <w:tabs>
          <w:tab w:leader="none" w:pos="1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of Grand Totals</w:t>
      </w:r>
    </w:p>
    <w:p>
      <w:pPr>
        <w:spacing w:after="0" w:line="11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33.98 %</w:t>
            </w:r>
          </w:p>
        </w:tc>
        <w:tc>
          <w:tcPr>
            <w:tcW w:w="28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34.88 %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18.62 %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616"/>
        </w:trPr>
        <w:tc>
          <w:tcPr>
            <w:tcW w:w="800" w:type="dxa"/>
            <w:vAlign w:val="bottom"/>
          </w:tcPr>
          <w:p>
            <w:pPr>
              <w:jc w:val="right"/>
              <w:ind w:right="189"/>
              <w:spacing w:after="0"/>
              <w:rPr>
                <w:sz w:val="20"/>
                <w:szCs w:val="20"/>
                <w:color w:val="auto"/>
              </w:rPr>
            </w:pPr>
            <w:r>
              <w:rPr>
                <w:rFonts w:ascii="Arial" w:cs="Arial" w:eastAsia="Arial" w:hAnsi="Arial"/>
                <w:sz w:val="14"/>
                <w:szCs w:val="14"/>
                <w:color w:val="auto"/>
                <w:w w:val="99"/>
              </w:rPr>
              <w:t>(43,232)</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(143,072)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(186,304)</w:t>
            </w:r>
          </w:p>
        </w:tc>
      </w:tr>
      <w:tr>
        <w:trPr>
          <w:trHeight w:val="477"/>
        </w:trPr>
        <w:tc>
          <w:tcPr>
            <w:tcW w:w="800" w:type="dxa"/>
            <w:vAlign w:val="bottom"/>
          </w:tcPr>
          <w:p>
            <w:pPr>
              <w:jc w:val="right"/>
              <w:ind w:right="229"/>
              <w:spacing w:after="0"/>
              <w:rPr>
                <w:sz w:val="20"/>
                <w:szCs w:val="20"/>
                <w:color w:val="auto"/>
              </w:rPr>
            </w:pPr>
            <w:r>
              <w:rPr>
                <w:rFonts w:ascii="Arial" w:cs="Arial" w:eastAsia="Arial" w:hAnsi="Arial"/>
                <w:sz w:val="14"/>
                <w:szCs w:val="14"/>
                <w:color w:val="auto"/>
              </w:rPr>
              <w:t>16,551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51,641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14,152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2,498</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23,578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107,756</w:t>
            </w:r>
          </w:p>
        </w:tc>
      </w:tr>
      <w:tr>
        <w:trPr>
          <w:trHeight w:val="288"/>
        </w:trPr>
        <w:tc>
          <w:tcPr>
            <w:tcW w:w="800" w:type="dxa"/>
            <w:vAlign w:val="bottom"/>
          </w:tcPr>
          <w:p>
            <w:pPr>
              <w:jc w:val="right"/>
              <w:ind w:right="229"/>
              <w:spacing w:after="0"/>
              <w:rPr>
                <w:sz w:val="20"/>
                <w:szCs w:val="20"/>
                <w:color w:val="auto"/>
              </w:rPr>
            </w:pPr>
            <w:r>
              <w:rPr>
                <w:rFonts w:ascii="Arial" w:cs="Arial" w:eastAsia="Arial" w:hAnsi="Arial"/>
                <w:sz w:val="14"/>
                <w:szCs w:val="14"/>
                <w:color w:val="auto"/>
                <w:w w:val="94"/>
              </w:rPr>
              <w:t>589,778</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51,641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489,169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351,907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2,498</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250,747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1,735,740</w:t>
            </w:r>
          </w:p>
        </w:tc>
      </w:tr>
      <w:tr>
        <w:trPr>
          <w:trHeight w:val="20"/>
        </w:trPr>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4"/>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33.98 %</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0.14 %</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-1034415</wp:posOffset>
            </wp:positionV>
            <wp:extent cx="7148830" cy="391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830" cy="391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-342265</wp:posOffset>
            </wp:positionV>
            <wp:extent cx="7148830" cy="2260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830" cy="22606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2340" w:space="380"/>
            <w:col w:w="8540"/>
          </w:cols>
          <w:pgMar w:left="320" w:top="282" w:right="319" w:bottom="1440" w:gutter="0" w:footer="0" w:header="0"/>
          <w:type w:val="continuous"/>
        </w:sectPr>
      </w:pPr>
    </w:p>
    <w:p>
      <w:pPr>
        <w:ind w:left="560" w:right="60" w:hanging="281"/>
        <w:spacing w:after="0" w:line="261" w:lineRule="auto"/>
        <w:tabs>
          <w:tab w:leader="none" w:pos="55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type w:val="continuous"/>
        </w:sectPr>
      </w:pPr>
    </w:p>
    <w:bookmarkStart w:id="175" w:name="page176"/>
    <w:bookmarkEnd w:id="175"/>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5"/>
        <w:spacing w:after="0"/>
        <w:rPr>
          <w:sz w:val="20"/>
          <w:szCs w:val="20"/>
          <w:color w:val="auto"/>
        </w:rPr>
      </w:pPr>
      <w:r>
        <w:rPr>
          <w:rFonts w:ascii="Arial" w:cs="Arial" w:eastAsia="Arial" w:hAnsi="Arial"/>
          <w:sz w:val="16"/>
          <w:szCs w:val="16"/>
          <w:color w:val="auto"/>
        </w:rPr>
        <w:t>For the year ended December 31, 2020:</w:t>
      </w:r>
    </w:p>
    <w:p>
      <w:pPr>
        <w:spacing w:after="0" w:line="10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Boston</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Los Angeles</w:t>
            </w: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b w:val="1"/>
                <w:bCs w:val="1"/>
                <w:color w:val="auto"/>
              </w:rPr>
              <w:t>New York</w:t>
            </w:r>
          </w:p>
        </w:tc>
        <w:tc>
          <w:tcPr>
            <w:tcW w:w="1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b w:val="1"/>
                <w:bCs w:val="1"/>
                <w:color w:val="auto"/>
              </w:rPr>
              <w:t>San Francisco</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Washington, DC</w:t>
            </w:r>
          </w:p>
        </w:tc>
        <w:tc>
          <w:tcPr>
            <w:tcW w:w="340" w:type="dxa"/>
            <w:vAlign w:val="bottom"/>
          </w:tcPr>
          <w:p>
            <w:pPr>
              <w:spacing w:after="0"/>
              <w:rPr>
                <w:sz w:val="15"/>
                <w:szCs w:val="15"/>
                <w:color w:val="auto"/>
              </w:rPr>
            </w:pPr>
          </w:p>
        </w:tc>
        <w:tc>
          <w:tcPr>
            <w:tcW w:w="1160" w:type="dxa"/>
            <w:vAlign w:val="bottom"/>
          </w:tcPr>
          <w:p>
            <w:pPr>
              <w:jc w:val="right"/>
              <w:ind w:right="529"/>
              <w:spacing w:after="0"/>
              <w:rPr>
                <w:sz w:val="20"/>
                <w:szCs w:val="20"/>
                <w:color w:val="auto"/>
              </w:rPr>
            </w:pPr>
            <w:r>
              <w:rPr>
                <w:rFonts w:ascii="Arial" w:cs="Arial" w:eastAsia="Arial" w:hAnsi="Arial"/>
                <w:sz w:val="13"/>
                <w:szCs w:val="13"/>
                <w:b w:val="1"/>
                <w:bCs w:val="1"/>
                <w:color w:val="auto"/>
              </w:rPr>
              <w:t>Total</w:t>
            </w:r>
          </w:p>
        </w:tc>
      </w:tr>
      <w:tr>
        <w:trPr>
          <w:trHeight w:val="17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Rental Revenue: (1)</w:t>
            </w: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187"/>
        </w:trPr>
        <w:tc>
          <w:tcPr>
            <w:tcW w:w="256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897,915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935,966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508,327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color w:val="auto"/>
              </w:rPr>
              <w:t>336,587</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2,678,795</w:t>
            </w:r>
          </w:p>
        </w:tc>
      </w:tr>
      <w:tr>
        <w:trPr>
          <w:trHeight w:val="192"/>
        </w:trPr>
        <w:tc>
          <w:tcPr>
            <w:tcW w:w="2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13,616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38,146</w:t>
            </w:r>
          </w:p>
        </w:tc>
      </w:tr>
      <w:tr>
        <w:trPr>
          <w:trHeight w:val="187"/>
        </w:trPr>
        <w:tc>
          <w:tcPr>
            <w:tcW w:w="2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7,478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7,478</w:t>
            </w:r>
          </w:p>
        </w:tc>
      </w:tr>
      <w:tr>
        <w:trPr>
          <w:trHeight w:val="184"/>
        </w:trPr>
        <w:tc>
          <w:tcPr>
            <w:tcW w:w="2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919,009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935,966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508,482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360,962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2,724,419</w:t>
            </w:r>
          </w:p>
        </w:tc>
      </w:tr>
      <w:tr>
        <w:trPr>
          <w:trHeight w:val="179"/>
        </w:trPr>
        <w:tc>
          <w:tcPr>
            <w:tcW w:w="2560" w:type="dxa"/>
            <w:vAlign w:val="bottom"/>
          </w:tcPr>
          <w:p>
            <w:pPr>
              <w:ind w:left="20"/>
              <w:spacing w:after="0"/>
              <w:rPr>
                <w:sz w:val="20"/>
                <w:szCs w:val="20"/>
                <w:color w:val="auto"/>
              </w:rPr>
            </w:pPr>
            <w:r>
              <w:rPr>
                <w:rFonts w:ascii="Arial" w:cs="Arial" w:eastAsia="Arial" w:hAnsi="Arial"/>
                <w:sz w:val="14"/>
                <w:szCs w:val="14"/>
                <w:color w:val="auto"/>
              </w:rPr>
              <w:t>% of Grand Totals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33.73 %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34.36 %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13.25 %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Expenses: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7"/>
        </w:trPr>
        <w:tc>
          <w:tcPr>
            <w:tcW w:w="2560" w:type="dxa"/>
            <w:vAlign w:val="bottom"/>
          </w:tcPr>
          <w:p>
            <w:pPr>
              <w:ind w:left="300"/>
              <w:spacing w:after="0"/>
              <w:rPr>
                <w:sz w:val="20"/>
                <w:szCs w:val="20"/>
                <w:color w:val="auto"/>
              </w:rPr>
            </w:pPr>
            <w:r>
              <w:rPr>
                <w:rFonts w:ascii="Arial" w:cs="Arial" w:eastAsia="Arial" w:hAnsi="Arial"/>
                <w:sz w:val="14"/>
                <w:szCs w:val="14"/>
                <w:color w:val="auto"/>
              </w:rPr>
              <w:t>Premier Workplace</w:t>
            </w:r>
          </w:p>
        </w:tc>
        <w:tc>
          <w:tcPr>
            <w:tcW w:w="26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318,509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384,753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163,156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Arial" w:cs="Arial" w:eastAsia="Arial" w:hAnsi="Arial"/>
                <w:sz w:val="14"/>
                <w:szCs w:val="14"/>
                <w:color w:val="auto"/>
              </w:rPr>
              <w:t>132,051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998,469</w:t>
            </w:r>
          </w:p>
        </w:tc>
      </w:tr>
      <w:tr>
        <w:trPr>
          <w:trHeight w:val="192"/>
        </w:trPr>
        <w:tc>
          <w:tcPr>
            <w:tcW w:w="2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11,100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18,739</w:t>
            </w:r>
          </w:p>
        </w:tc>
      </w:tr>
      <w:tr>
        <w:trPr>
          <w:trHeight w:val="187"/>
        </w:trPr>
        <w:tc>
          <w:tcPr>
            <w:tcW w:w="2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Hotel</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13,136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13,136</w:t>
            </w:r>
          </w:p>
        </w:tc>
      </w:tr>
      <w:tr>
        <w:trPr>
          <w:trHeight w:val="184"/>
        </w:trPr>
        <w:tc>
          <w:tcPr>
            <w:tcW w:w="25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337,023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384,753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165,417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143,151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1,030,344</w:t>
            </w:r>
          </w:p>
        </w:tc>
      </w:tr>
      <w:tr>
        <w:trPr>
          <w:trHeight w:val="179"/>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of Grand Totals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98"/>
              </w:rPr>
              <w:t>— %</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37.35 %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1"/>
        </w:trPr>
        <w:tc>
          <w:tcPr>
            <w:tcW w:w="2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581,986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551,213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343,065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217,811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1,694,075</w:t>
            </w:r>
          </w:p>
        </w:tc>
      </w:tr>
    </w:tbl>
    <w:p>
      <w:pPr>
        <w:spacing w:after="0" w:line="2" w:lineRule="exact"/>
        <w:rPr>
          <w:sz w:val="20"/>
          <w:szCs w:val="20"/>
          <w:color w:val="auto"/>
        </w:rPr>
      </w:pPr>
    </w:p>
    <w:p>
      <w:pPr>
        <w:sectPr>
          <w:pgSz w:w="11900" w:h="16838" w:orient="portrait"/>
          <w:cols w:equalWidth="0" w:num="1">
            <w:col w:w="11265"/>
          </w:cols>
          <w:pgMar w:left="315" w:top="281" w:right="319" w:bottom="1440" w:gutter="0" w:footer="0" w:header="0"/>
        </w:sectPr>
      </w:pPr>
    </w:p>
    <w:p>
      <w:pPr>
        <w:ind w:left="25"/>
        <w:spacing w:after="0"/>
        <w:rPr>
          <w:sz w:val="20"/>
          <w:szCs w:val="20"/>
          <w:color w:val="auto"/>
        </w:rPr>
      </w:pPr>
      <w:r>
        <w:rPr>
          <w:rFonts w:ascii="Arial" w:cs="Arial" w:eastAsia="Arial" w:hAnsi="Arial"/>
          <w:sz w:val="14"/>
          <w:szCs w:val="14"/>
          <w:color w:val="auto"/>
        </w:rPr>
        <w:t>% of Grand Totals</w:t>
      </w:r>
    </w:p>
    <w:p>
      <w:pPr>
        <w:spacing w:after="0" w:line="22" w:lineRule="exact"/>
        <w:rPr>
          <w:sz w:val="20"/>
          <w:szCs w:val="20"/>
          <w:color w:val="auto"/>
        </w:rPr>
      </w:pPr>
    </w:p>
    <w:p>
      <w:pPr>
        <w:ind w:left="25"/>
        <w:spacing w:after="0"/>
        <w:rPr>
          <w:sz w:val="20"/>
          <w:szCs w:val="20"/>
          <w:color w:val="auto"/>
        </w:rPr>
      </w:pPr>
      <w:r>
        <w:rPr>
          <w:rFonts w:ascii="Arial" w:cs="Arial" w:eastAsia="Arial" w:hAnsi="Arial"/>
          <w:sz w:val="14"/>
          <w:szCs w:val="14"/>
          <w:color w:val="auto"/>
        </w:rPr>
        <w:t>Less: Net operating income attributable</w:t>
      </w:r>
    </w:p>
    <w:p>
      <w:pPr>
        <w:ind w:left="365" w:right="500"/>
        <w:spacing w:after="0" w:line="233" w:lineRule="auto"/>
        <w:rPr>
          <w:sz w:val="20"/>
          <w:szCs w:val="20"/>
          <w:color w:val="auto"/>
        </w:rPr>
      </w:pPr>
      <w:r>
        <w:rPr>
          <w:rFonts w:ascii="Arial" w:cs="Arial" w:eastAsia="Arial" w:hAnsi="Arial"/>
          <w:sz w:val="14"/>
          <w:szCs w:val="14"/>
          <w:color w:val="auto"/>
        </w:rPr>
        <w:t>to noncontrolling interests in property partnerships</w:t>
      </w:r>
    </w:p>
    <w:p>
      <w:pPr>
        <w:spacing w:after="0" w:line="19" w:lineRule="exact"/>
        <w:rPr>
          <w:sz w:val="20"/>
          <w:szCs w:val="20"/>
          <w:color w:val="auto"/>
        </w:rPr>
      </w:pPr>
    </w:p>
    <w:p>
      <w:pPr>
        <w:jc w:val="both"/>
        <w:ind w:left="365" w:right="160" w:hanging="354"/>
        <w:spacing w:after="0" w:line="226" w:lineRule="auto"/>
        <w:rPr>
          <w:sz w:val="20"/>
          <w:szCs w:val="20"/>
          <w:color w:val="auto"/>
        </w:rPr>
      </w:pPr>
      <w:r>
        <w:rPr>
          <w:rFonts w:ascii="Arial" w:cs="Arial" w:eastAsia="Arial" w:hAnsi="Arial"/>
          <w:sz w:val="14"/>
          <w:szCs w:val="14"/>
          <w:color w:val="auto"/>
        </w:rPr>
        <w:t>Add: Company’s share of net operating income from unconsolidated joint ventures</w:t>
      </w:r>
    </w:p>
    <w:tbl>
      <w:tblPr>
        <w:tblLayout w:type="fixed"/>
        <w:tblInd w:w="25"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Arial" w:cs="Arial" w:eastAsia="Arial" w:hAnsi="Arial"/>
                <w:sz w:val="14"/>
                <w:szCs w:val="14"/>
                <w:color w:val="auto"/>
              </w:rPr>
              <w:t>Company’s share of net operating</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tcPr>
          <w:p>
            <w:pPr>
              <w:ind w:left="140"/>
              <w:spacing w:after="0"/>
              <w:rPr>
                <w:sz w:val="20"/>
                <w:szCs w:val="20"/>
                <w:color w:val="auto"/>
              </w:rPr>
            </w:pPr>
            <w:r>
              <w:rPr>
                <w:rFonts w:ascii="Arial" w:cs="Arial" w:eastAsia="Arial" w:hAnsi="Arial"/>
                <w:sz w:val="14"/>
                <w:szCs w:val="14"/>
                <w:color w:val="auto"/>
              </w:rPr>
              <w:t>income</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Arial" w:cs="Arial" w:eastAsia="Arial" w:hAnsi="Arial"/>
                <w:sz w:val="14"/>
                <w:szCs w:val="14"/>
                <w:color w:val="auto"/>
              </w:rPr>
              <w:t>% of Grand Totals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340" w:type="dxa"/>
            <w:vAlign w:val="bottom"/>
          </w:tcPr>
          <w:p>
            <w:pPr>
              <w:jc w:val="right"/>
              <w:ind w:right="1029"/>
              <w:spacing w:after="0"/>
              <w:rPr>
                <w:sz w:val="20"/>
                <w:szCs w:val="20"/>
                <w:color w:val="auto"/>
              </w:rPr>
            </w:pPr>
            <w:r>
              <w:rPr>
                <w:rFonts w:ascii="Arial" w:cs="Arial" w:eastAsia="Arial" w:hAnsi="Arial"/>
                <w:sz w:val="14"/>
                <w:szCs w:val="14"/>
                <w:color w:val="auto"/>
              </w:rPr>
              <w:t>_______________</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34.35 %</w:t>
            </w:r>
          </w:p>
        </w:tc>
        <w:tc>
          <w:tcPr>
            <w:tcW w:w="360" w:type="dxa"/>
            <w:vAlign w:val="bottom"/>
          </w:tcPr>
          <w:p>
            <w:pPr>
              <w:spacing w:after="0"/>
              <w:rPr>
                <w:sz w:val="14"/>
                <w:szCs w:val="14"/>
                <w:color w:val="auto"/>
              </w:rPr>
            </w:pPr>
          </w:p>
        </w:tc>
        <w:tc>
          <w:tcPr>
            <w:tcW w:w="98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32.54 %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20.25 %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12.86 %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474"/>
        </w:trPr>
        <w:tc>
          <w:tcPr>
            <w:tcW w:w="800" w:type="dxa"/>
            <w:vAlign w:val="bottom"/>
          </w:tcPr>
          <w:p>
            <w:pPr>
              <w:jc w:val="right"/>
              <w:ind w:right="169"/>
              <w:spacing w:after="0"/>
              <w:rPr>
                <w:sz w:val="20"/>
                <w:szCs w:val="20"/>
                <w:color w:val="auto"/>
              </w:rPr>
            </w:pPr>
            <w:r>
              <w:rPr>
                <w:rFonts w:ascii="Arial" w:cs="Arial" w:eastAsia="Arial" w:hAnsi="Arial"/>
                <w:sz w:val="14"/>
                <w:szCs w:val="14"/>
                <w:color w:val="auto"/>
              </w:rPr>
              <w:t>(41,849)</w:t>
            </w:r>
          </w:p>
        </w:tc>
        <w:tc>
          <w:tcPr>
            <w:tcW w:w="3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(121,038)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(162,887)</w:t>
            </w:r>
          </w:p>
        </w:tc>
      </w:tr>
      <w:tr>
        <w:trPr>
          <w:trHeight w:val="477"/>
        </w:trPr>
        <w:tc>
          <w:tcPr>
            <w:tcW w:w="800" w:type="dxa"/>
            <w:vAlign w:val="bottom"/>
          </w:tcPr>
          <w:p>
            <w:pPr>
              <w:jc w:val="right"/>
              <w:ind w:right="209"/>
              <w:spacing w:after="0"/>
              <w:rPr>
                <w:sz w:val="20"/>
                <w:szCs w:val="20"/>
                <w:color w:val="auto"/>
              </w:rPr>
            </w:pPr>
            <w:r>
              <w:rPr>
                <w:rFonts w:ascii="Arial" w:cs="Arial" w:eastAsia="Arial" w:hAnsi="Arial"/>
                <w:sz w:val="14"/>
                <w:szCs w:val="14"/>
                <w:color w:val="auto"/>
              </w:rPr>
              <w:t>10,765</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57,907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14,928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16,669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94,943</w:t>
            </w:r>
          </w:p>
        </w:tc>
      </w:tr>
      <w:tr>
        <w:trPr>
          <w:trHeight w:val="288"/>
        </w:trPr>
        <w:tc>
          <w:tcPr>
            <w:tcW w:w="800" w:type="dxa"/>
            <w:vAlign w:val="bottom"/>
          </w:tcPr>
          <w:p>
            <w:pPr>
              <w:jc w:val="right"/>
              <w:ind w:right="209"/>
              <w:spacing w:after="0"/>
              <w:rPr>
                <w:sz w:val="20"/>
                <w:szCs w:val="20"/>
                <w:color w:val="auto"/>
              </w:rPr>
            </w:pPr>
            <w:r>
              <w:rPr>
                <w:rFonts w:ascii="Arial" w:cs="Arial" w:eastAsia="Arial" w:hAnsi="Arial"/>
                <w:sz w:val="14"/>
                <w:szCs w:val="14"/>
                <w:color w:val="auto"/>
                <w:w w:val="98"/>
              </w:rPr>
              <w:t>550,902</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57,907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424,849</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357,993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234,480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1,626,131</w:t>
            </w:r>
          </w:p>
        </w:tc>
      </w:tr>
      <w:tr>
        <w:trPr>
          <w:trHeight w:val="20"/>
        </w:trPr>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4"/>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33.88 %</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26.12 %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22.02 %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14.42 %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-944245</wp:posOffset>
            </wp:positionV>
            <wp:extent cx="7148830" cy="300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830" cy="3009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-342265</wp:posOffset>
            </wp:positionV>
            <wp:extent cx="7148830" cy="2260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830" cy="22606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2645" w:space="540"/>
            <w:col w:w="8080"/>
          </w:cols>
          <w:pgMar w:left="315" w:top="281" w:right="319" w:bottom="1440" w:gutter="0" w:footer="0" w:header="0"/>
          <w:type w:val="continuous"/>
        </w:sectPr>
      </w:pPr>
    </w:p>
    <w:p>
      <w:pPr>
        <w:ind w:left="565" w:right="60" w:hanging="281"/>
        <w:spacing w:after="0" w:line="261" w:lineRule="auto"/>
        <w:tabs>
          <w:tab w:leader="none" w:pos="561" w:val="left"/>
        </w:tabs>
        <w:numPr>
          <w:ilvl w:val="1"/>
          <w:numId w:val="124"/>
        </w:numPr>
        <w:rPr>
          <w:rFonts w:ascii="Arial" w:cs="Arial" w:eastAsia="Arial" w:hAnsi="Arial"/>
          <w:sz w:val="14"/>
          <w:szCs w:val="14"/>
          <w:color w:val="auto"/>
        </w:rPr>
      </w:pPr>
      <w:r>
        <w:rPr>
          <w:rFonts w:ascii="Arial" w:cs="Arial" w:eastAsia="Arial" w:hAnsi="Arial"/>
          <w:sz w:val="14"/>
          <w:szCs w:val="14"/>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397" w:lineRule="exact"/>
        <w:rPr>
          <w:rFonts w:ascii="Arial" w:cs="Arial" w:eastAsia="Arial" w:hAnsi="Arial"/>
          <w:sz w:val="14"/>
          <w:szCs w:val="14"/>
          <w:color w:val="auto"/>
        </w:rPr>
      </w:pPr>
    </w:p>
    <w:p>
      <w:pPr>
        <w:ind w:left="265" w:hanging="265"/>
        <w:spacing w:after="0"/>
        <w:tabs>
          <w:tab w:leader="none" w:pos="265"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 / Common Unit</w:t>
      </w:r>
    </w:p>
    <w:p>
      <w:pPr>
        <w:spacing w:after="0" w:line="150"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BXP</w:t>
      </w:r>
    </w:p>
    <w:p>
      <w:pPr>
        <w:spacing w:after="0" w:line="107" w:lineRule="exact"/>
        <w:rPr>
          <w:sz w:val="20"/>
          <w:szCs w:val="20"/>
          <w:color w:val="auto"/>
        </w:rPr>
      </w:pPr>
    </w:p>
    <w:p>
      <w:pPr>
        <w:ind w:left="5" w:right="80" w:firstLine="391"/>
        <w:spacing w:after="0" w:line="248" w:lineRule="auto"/>
        <w:rPr>
          <w:sz w:val="20"/>
          <w:szCs w:val="20"/>
          <w:color w:val="auto"/>
        </w:rPr>
      </w:pPr>
      <w:r>
        <w:rPr>
          <w:rFonts w:ascii="Arial" w:cs="Arial" w:eastAsia="Arial" w:hAnsi="Arial"/>
          <w:sz w:val="16"/>
          <w:szCs w:val="16"/>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4230"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2022</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6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1"/>
                <w:szCs w:val="11"/>
                <w:color w:val="auto"/>
              </w:rPr>
            </w:pPr>
          </w:p>
        </w:tc>
        <w:tc>
          <w:tcPr>
            <w:tcW w:w="1140" w:type="dxa"/>
            <w:vAlign w:val="bottom"/>
          </w:tcPr>
          <w:p>
            <w:pPr>
              <w:jc w:val="center"/>
              <w:ind w:right="403"/>
              <w:spacing w:after="0" w:line="137" w:lineRule="exact"/>
              <w:rPr>
                <w:sz w:val="20"/>
                <w:szCs w:val="20"/>
                <w:color w:val="auto"/>
              </w:rPr>
            </w:pPr>
            <w:r>
              <w:rPr>
                <w:rFonts w:ascii="Arial" w:cs="Arial" w:eastAsia="Arial" w:hAnsi="Arial"/>
                <w:sz w:val="14"/>
                <w:szCs w:val="14"/>
                <w:b w:val="1"/>
                <w:bCs w:val="1"/>
                <w:color w:val="auto"/>
              </w:rPr>
              <w:t>Per Share</w:t>
            </w: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rPr>
              <w:t>Amount</w:t>
            </w: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share amounts)</w:t>
            </w:r>
          </w:p>
        </w:tc>
        <w:tc>
          <w:tcPr>
            <w:tcW w:w="1140" w:type="dxa"/>
            <w:vAlign w:val="bottom"/>
          </w:tcPr>
          <w:p>
            <w:pPr>
              <w:spacing w:after="0"/>
              <w:rPr>
                <w:sz w:val="15"/>
                <w:szCs w:val="15"/>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848,947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156,726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22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193"/>
        </w:trPr>
        <w:tc>
          <w:tcPr>
            <w:tcW w:w="5860" w:type="dxa"/>
            <w:vAlign w:val="bottom"/>
          </w:tcPr>
          <w:p>
            <w:pPr>
              <w:ind w:left="300"/>
              <w:spacing w:after="0" w:line="180" w:lineRule="exact"/>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848,056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156,726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182"/>
        </w:trPr>
        <w:tc>
          <w:tcPr>
            <w:tcW w:w="5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848,056</w:t>
            </w:r>
          </w:p>
        </w:tc>
        <w:tc>
          <w:tcPr>
            <w:tcW w:w="2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157,137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1"/>
        </w:trPr>
        <w:tc>
          <w:tcPr>
            <w:tcW w:w="5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2021</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6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1"/>
                <w:szCs w:val="11"/>
                <w:color w:val="auto"/>
              </w:rPr>
            </w:pPr>
          </w:p>
        </w:tc>
        <w:tc>
          <w:tcPr>
            <w:tcW w:w="1140" w:type="dxa"/>
            <w:vAlign w:val="bottom"/>
          </w:tcPr>
          <w:p>
            <w:pPr>
              <w:jc w:val="center"/>
              <w:ind w:right="403"/>
              <w:spacing w:after="0" w:line="137" w:lineRule="exact"/>
              <w:rPr>
                <w:sz w:val="20"/>
                <w:szCs w:val="20"/>
                <w:color w:val="auto"/>
              </w:rPr>
            </w:pPr>
            <w:r>
              <w:rPr>
                <w:rFonts w:ascii="Arial" w:cs="Arial" w:eastAsia="Arial" w:hAnsi="Arial"/>
                <w:sz w:val="14"/>
                <w:szCs w:val="14"/>
                <w:b w:val="1"/>
                <w:bCs w:val="1"/>
                <w:color w:val="auto"/>
              </w:rPr>
              <w:t>Per Share</w:t>
            </w: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rPr>
              <w:t>Amount</w:t>
            </w: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share amounts)</w:t>
            </w:r>
          </w:p>
        </w:tc>
        <w:tc>
          <w:tcPr>
            <w:tcW w:w="1140" w:type="dxa"/>
            <w:vAlign w:val="bottom"/>
          </w:tcPr>
          <w:p>
            <w:pPr>
              <w:spacing w:after="0"/>
              <w:rPr>
                <w:sz w:val="15"/>
                <w:szCs w:val="15"/>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496,223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156,116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5860" w:type="dxa"/>
            <w:vAlign w:val="bottom"/>
          </w:tcPr>
          <w:p>
            <w:pPr>
              <w:ind w:left="300"/>
              <w:spacing w:after="0" w:line="180" w:lineRule="exact"/>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496,223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156,116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182"/>
        </w:trPr>
        <w:tc>
          <w:tcPr>
            <w:tcW w:w="5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496,223</w:t>
            </w:r>
          </w:p>
        </w:tc>
        <w:tc>
          <w:tcPr>
            <w:tcW w:w="2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156,376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1"/>
        </w:trPr>
        <w:tc>
          <w:tcPr>
            <w:tcW w:w="5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2020</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6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1"/>
                <w:szCs w:val="11"/>
                <w:color w:val="auto"/>
              </w:rPr>
            </w:pPr>
          </w:p>
        </w:tc>
        <w:tc>
          <w:tcPr>
            <w:tcW w:w="1140" w:type="dxa"/>
            <w:vAlign w:val="bottom"/>
          </w:tcPr>
          <w:p>
            <w:pPr>
              <w:jc w:val="center"/>
              <w:ind w:right="403"/>
              <w:spacing w:after="0" w:line="137" w:lineRule="exact"/>
              <w:rPr>
                <w:sz w:val="20"/>
                <w:szCs w:val="20"/>
                <w:color w:val="auto"/>
              </w:rPr>
            </w:pPr>
            <w:r>
              <w:rPr>
                <w:rFonts w:ascii="Arial" w:cs="Arial" w:eastAsia="Arial" w:hAnsi="Arial"/>
                <w:sz w:val="14"/>
                <w:szCs w:val="14"/>
                <w:b w:val="1"/>
                <w:bCs w:val="1"/>
                <w:color w:val="auto"/>
              </w:rPr>
              <w:t>Per Share</w:t>
            </w: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rPr>
              <w:t>Amount</w:t>
            </w: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share amounts)</w:t>
            </w:r>
          </w:p>
        </w:tc>
        <w:tc>
          <w:tcPr>
            <w:tcW w:w="1140" w:type="dxa"/>
            <w:vAlign w:val="bottom"/>
          </w:tcPr>
          <w:p>
            <w:pPr>
              <w:spacing w:after="0"/>
              <w:rPr>
                <w:sz w:val="15"/>
                <w:szCs w:val="15"/>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862,227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155,432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22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193"/>
        </w:trPr>
        <w:tc>
          <w:tcPr>
            <w:tcW w:w="5860" w:type="dxa"/>
            <w:vAlign w:val="bottom"/>
          </w:tcPr>
          <w:p>
            <w:pPr>
              <w:ind w:left="300"/>
              <w:spacing w:after="0" w:line="180" w:lineRule="exact"/>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861,479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155,432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5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861,479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155,517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BPLP</w:t>
      </w:r>
    </w:p>
    <w:p>
      <w:pPr>
        <w:spacing w:after="0" w:line="95" w:lineRule="exact"/>
        <w:rPr>
          <w:sz w:val="20"/>
          <w:szCs w:val="20"/>
          <w:color w:val="auto"/>
        </w:rPr>
      </w:pPr>
    </w:p>
    <w:p>
      <w:pPr>
        <w:ind w:firstLine="391"/>
        <w:spacing w:after="0" w:line="266" w:lineRule="auto"/>
        <w:rPr>
          <w:sz w:val="20"/>
          <w:szCs w:val="20"/>
          <w:color w:val="auto"/>
        </w:rPr>
      </w:pPr>
      <w:r>
        <w:rPr>
          <w:rFonts w:ascii="Arial" w:cs="Arial" w:eastAsia="Arial" w:hAnsi="Arial"/>
          <w:sz w:val="15"/>
          <w:szCs w:val="15"/>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17,634,000, 17,034,000 and 17,211,000 redeemable common units for the years ended December 31, 2022, 2021 and 2020,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2022</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6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1"/>
                <w:szCs w:val="11"/>
                <w:color w:val="auto"/>
              </w:rPr>
            </w:pPr>
          </w:p>
        </w:tc>
        <w:tc>
          <w:tcPr>
            <w:tcW w:w="1140" w:type="dxa"/>
            <w:vAlign w:val="bottom"/>
          </w:tcPr>
          <w:p>
            <w:pPr>
              <w:jc w:val="right"/>
              <w:ind w:right="463"/>
              <w:spacing w:after="0" w:line="137"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unit amounts)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957,265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174,360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45"/>
        </w:trPr>
        <w:tc>
          <w:tcPr>
            <w:tcW w:w="5860" w:type="dxa"/>
            <w:vAlign w:val="bottom"/>
          </w:tcPr>
          <w:p>
            <w:pPr>
              <w:ind w:left="300"/>
              <w:spacing w:after="0" w:line="14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956,274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174,360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2"/>
        </w:trPr>
        <w:tc>
          <w:tcPr>
            <w:tcW w:w="5860" w:type="dxa"/>
            <w:vAlign w:val="bottom"/>
            <w:tcBorders>
              <w:top w:val="single" w:sz="8" w:color="CCEEFF"/>
            </w:tcBorders>
            <w:shd w:val="clear" w:color="auto" w:fill="CCEEFF"/>
          </w:tcPr>
          <w:p>
            <w:pPr>
              <w:jc w:val="right"/>
              <w:ind w:right="4561"/>
              <w:spacing w:after="0" w:line="181" w:lineRule="exact"/>
              <w:rPr>
                <w:sz w:val="20"/>
                <w:szCs w:val="20"/>
                <w:color w:val="auto"/>
              </w:rPr>
            </w:pPr>
            <w:r>
              <w:rPr>
                <w:rFonts w:ascii="Arial" w:cs="Arial" w:eastAsia="Arial" w:hAnsi="Arial"/>
                <w:sz w:val="16"/>
                <w:szCs w:val="16"/>
                <w:color w:val="auto"/>
                <w:w w:val="98"/>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956,274</w:t>
            </w:r>
          </w:p>
        </w:tc>
        <w:tc>
          <w:tcPr>
            <w:tcW w:w="220" w:type="dxa"/>
            <w:vAlign w:val="bottom"/>
            <w:vMerge w:val="restart"/>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174,771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79"/>
        </w:trPr>
        <w:tc>
          <w:tcPr>
            <w:tcW w:w="5860" w:type="dxa"/>
            <w:vAlign w:val="bottom"/>
          </w:tcPr>
          <w:p>
            <w:pPr>
              <w:jc w:val="right"/>
              <w:ind w:right="4561"/>
              <w:spacing w:after="0" w:line="178" w:lineRule="exact"/>
              <w:rPr>
                <w:sz w:val="20"/>
                <w:szCs w:val="20"/>
                <w:color w:val="auto"/>
              </w:rPr>
            </w:pPr>
            <w:r>
              <w:rPr>
                <w:rFonts w:ascii="Arial" w:cs="Arial" w:eastAsia="Arial" w:hAnsi="Arial"/>
                <w:sz w:val="16"/>
                <w:szCs w:val="16"/>
                <w:color w:val="auto"/>
              </w:rPr>
              <w:t>unitholders</w:t>
            </w:r>
          </w:p>
        </w:tc>
        <w:tc>
          <w:tcPr>
            <w:tcW w:w="26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2021</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6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1"/>
                <w:szCs w:val="11"/>
                <w:color w:val="auto"/>
              </w:rPr>
            </w:pPr>
          </w:p>
        </w:tc>
        <w:tc>
          <w:tcPr>
            <w:tcW w:w="1140" w:type="dxa"/>
            <w:vAlign w:val="bottom"/>
          </w:tcPr>
          <w:p>
            <w:pPr>
              <w:jc w:val="right"/>
              <w:ind w:right="463"/>
              <w:spacing w:after="0" w:line="137"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unit amounts)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561,993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173,150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5860" w:type="dxa"/>
            <w:vAlign w:val="bottom"/>
          </w:tcPr>
          <w:p>
            <w:pPr>
              <w:ind w:left="300"/>
              <w:spacing w:after="0" w:line="14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561,993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173,150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2"/>
        </w:trPr>
        <w:tc>
          <w:tcPr>
            <w:tcW w:w="5860" w:type="dxa"/>
            <w:vAlign w:val="bottom"/>
            <w:tcBorders>
              <w:top w:val="single" w:sz="8" w:color="CCEEFF"/>
            </w:tcBorders>
            <w:shd w:val="clear" w:color="auto" w:fill="CCEEFF"/>
          </w:tcPr>
          <w:p>
            <w:pPr>
              <w:jc w:val="right"/>
              <w:ind w:right="4561"/>
              <w:spacing w:after="0" w:line="181" w:lineRule="exact"/>
              <w:rPr>
                <w:sz w:val="20"/>
                <w:szCs w:val="20"/>
                <w:color w:val="auto"/>
              </w:rPr>
            </w:pPr>
            <w:r>
              <w:rPr>
                <w:rFonts w:ascii="Arial" w:cs="Arial" w:eastAsia="Arial" w:hAnsi="Arial"/>
                <w:sz w:val="16"/>
                <w:szCs w:val="16"/>
                <w:color w:val="auto"/>
                <w:w w:val="98"/>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561,993</w:t>
            </w:r>
          </w:p>
        </w:tc>
        <w:tc>
          <w:tcPr>
            <w:tcW w:w="1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173,410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79"/>
        </w:trPr>
        <w:tc>
          <w:tcPr>
            <w:tcW w:w="5860" w:type="dxa"/>
            <w:vAlign w:val="bottom"/>
          </w:tcPr>
          <w:p>
            <w:pPr>
              <w:jc w:val="right"/>
              <w:ind w:right="4561"/>
              <w:spacing w:after="0" w:line="178" w:lineRule="exact"/>
              <w:rPr>
                <w:sz w:val="20"/>
                <w:szCs w:val="20"/>
                <w:color w:val="auto"/>
              </w:rPr>
            </w:pPr>
            <w:r>
              <w:rPr>
                <w:rFonts w:ascii="Arial" w:cs="Arial" w:eastAsia="Arial" w:hAnsi="Arial"/>
                <w:sz w:val="16"/>
                <w:szCs w:val="16"/>
                <w:color w:val="auto"/>
              </w:rPr>
              <w:t>unitholders</w:t>
            </w:r>
          </w:p>
        </w:tc>
        <w:tc>
          <w:tcPr>
            <w:tcW w:w="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 2020</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ind w:right="484"/>
              <w:spacing w:after="0" w:line="137"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880" w:type="dxa"/>
            <w:vAlign w:val="bottom"/>
            <w:gridSpan w:val="3"/>
          </w:tcPr>
          <w:p>
            <w:pPr>
              <w:jc w:val="center"/>
              <w:ind w:right="240"/>
              <w:spacing w:after="0" w:line="137" w:lineRule="exact"/>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1"/>
                <w:szCs w:val="11"/>
                <w:color w:val="auto"/>
              </w:rPr>
            </w:pPr>
          </w:p>
        </w:tc>
        <w:tc>
          <w:tcPr>
            <w:tcW w:w="1140" w:type="dxa"/>
            <w:vAlign w:val="bottom"/>
          </w:tcPr>
          <w:p>
            <w:pPr>
              <w:jc w:val="right"/>
              <w:ind w:right="463"/>
              <w:spacing w:after="0" w:line="137"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rPr>
              <w:t>(in thousands, except for per unit amounts)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979,979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172,643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45"/>
        </w:trPr>
        <w:tc>
          <w:tcPr>
            <w:tcW w:w="5860" w:type="dxa"/>
            <w:vAlign w:val="bottom"/>
          </w:tcPr>
          <w:p>
            <w:pPr>
              <w:ind w:left="300"/>
              <w:spacing w:after="0" w:line="14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Pr>
          <w:p>
            <w:pPr>
              <w:jc w:val="right"/>
              <w:ind w:right="4561"/>
              <w:spacing w:after="0"/>
              <w:rPr>
                <w:sz w:val="20"/>
                <w:szCs w:val="20"/>
                <w:color w:val="auto"/>
              </w:rPr>
            </w:pPr>
            <w:r>
              <w:rPr>
                <w:rFonts w:ascii="Arial" w:cs="Arial" w:eastAsia="Arial" w:hAnsi="Arial"/>
                <w:sz w:val="16"/>
                <w:szCs w:val="16"/>
                <w:color w:val="auto"/>
              </w:rPr>
              <w:t>unitholders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979,149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172,643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860" w:type="dxa"/>
            <w:vAlign w:val="bottom"/>
            <w:tcBorders>
              <w:top w:val="single" w:sz="8" w:color="CCEEFF"/>
            </w:tcBorders>
            <w:shd w:val="clear" w:color="auto" w:fill="CCEEFF"/>
          </w:tcPr>
          <w:p>
            <w:pPr>
              <w:jc w:val="right"/>
              <w:ind w:right="4561"/>
              <w:spacing w:after="0" w:line="181" w:lineRule="exact"/>
              <w:rPr>
                <w:sz w:val="20"/>
                <w:szCs w:val="20"/>
                <w:color w:val="auto"/>
              </w:rPr>
            </w:pPr>
            <w:r>
              <w:rPr>
                <w:rFonts w:ascii="Arial" w:cs="Arial" w:eastAsia="Arial" w:hAnsi="Arial"/>
                <w:sz w:val="16"/>
                <w:szCs w:val="16"/>
                <w:color w:val="auto"/>
                <w:w w:val="98"/>
              </w:rPr>
              <w:t>Diluted Earnings: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00"/>
              <w:spacing w:after="0" w:line="16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979,149</w:t>
            </w:r>
          </w:p>
        </w:tc>
        <w:tc>
          <w:tcPr>
            <w:tcW w:w="1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172,728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79"/>
        </w:trPr>
        <w:tc>
          <w:tcPr>
            <w:tcW w:w="5860" w:type="dxa"/>
            <w:vAlign w:val="bottom"/>
          </w:tcPr>
          <w:p>
            <w:pPr>
              <w:jc w:val="right"/>
              <w:ind w:right="4561"/>
              <w:spacing w:after="0" w:line="178" w:lineRule="exact"/>
              <w:rPr>
                <w:sz w:val="20"/>
                <w:szCs w:val="20"/>
                <w:color w:val="auto"/>
              </w:rPr>
            </w:pPr>
            <w:r>
              <w:rPr>
                <w:rFonts w:ascii="Arial" w:cs="Arial" w:eastAsia="Arial" w:hAnsi="Arial"/>
                <w:sz w:val="16"/>
                <w:szCs w:val="16"/>
                <w:color w:val="auto"/>
              </w:rPr>
              <w:t>unitholders</w:t>
            </w:r>
          </w:p>
        </w:tc>
        <w:tc>
          <w:tcPr>
            <w:tcW w:w="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Employee Benefit Plans</w:t>
      </w:r>
    </w:p>
    <w:p>
      <w:pPr>
        <w:spacing w:after="0" w:line="109" w:lineRule="exact"/>
        <w:rPr>
          <w:sz w:val="20"/>
          <w:szCs w:val="20"/>
          <w:color w:val="auto"/>
        </w:rPr>
      </w:pPr>
    </w:p>
    <w:p>
      <w:pPr>
        <w:ind w:right="200" w:firstLine="391"/>
        <w:spacing w:after="0" w:line="253" w:lineRule="auto"/>
        <w:rPr>
          <w:sz w:val="20"/>
          <w:szCs w:val="20"/>
          <w:color w:val="auto"/>
        </w:rPr>
      </w:pPr>
      <w:r>
        <w:rPr>
          <w:rFonts w:ascii="Arial" w:cs="Arial" w:eastAsia="Arial" w:hAnsi="Arial"/>
          <w:sz w:val="16"/>
          <w:szCs w:val="16"/>
          <w:color w:val="auto"/>
        </w:rPr>
        <w:t>Effective January 1, 1985, the predecessor of the Company adopted a 401(k) Savings Plan (the “Plan”) for its employees. Upon formation, the Company adopted the Plan and the terms of the Plan.</w:t>
      </w:r>
    </w:p>
    <w:p>
      <w:pPr>
        <w:spacing w:after="0" w:line="134" w:lineRule="exact"/>
        <w:rPr>
          <w:sz w:val="20"/>
          <w:szCs w:val="20"/>
          <w:color w:val="auto"/>
        </w:rPr>
      </w:pPr>
    </w:p>
    <w:p>
      <w:pPr>
        <w:ind w:right="420" w:firstLine="391"/>
        <w:spacing w:after="0" w:line="249" w:lineRule="auto"/>
        <w:rPr>
          <w:sz w:val="20"/>
          <w:szCs w:val="20"/>
          <w:color w:val="auto"/>
        </w:rPr>
      </w:pPr>
      <w:r>
        <w:rPr>
          <w:rFonts w:ascii="Arial" w:cs="Arial" w:eastAsia="Arial" w:hAnsi="Arial"/>
          <w:sz w:val="16"/>
          <w:szCs w:val="16"/>
          <w:color w:val="auto"/>
        </w:rPr>
        <w:t>Under the Plan, as amended, the Company’s matching contribution equals 200% of the first 3% of participant’s eligible earnings contributed (utilizing earnings that are not in excess of an amount established by the IRS ($305,000, $290,000 and $285,000 in 2022, 2021 and 2020, respectively), indexed for inflation) with no vesting requirement. The Company’s aggregate matching contribution for the years ended December 31, 2022, 2021 and 2020 was approximately $4.8 million, $4.7 million and $4.0 million, respectively.</w:t>
      </w:r>
    </w:p>
    <w:p>
      <w:pPr>
        <w:spacing w:after="0" w:line="13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The Company also maintains a deferred compensation plan that is designed to allow officers of BXP to defer a portion of the officer’s current income on a pre-tax basis and receive a tax-deferred return on these deferrals based on the performance of specific investments selected by the officer. The Company’s obligation under the plan is that of an unsecured promise to pay the deferred compensation to the plan participants in the future. At December 31, 2022 and 2021, the Company had maintained approximately $31.7 million and $42.7 million, respectively, in a separate account, which is not restricted as to its use. The Company’s liability under the plan is equal to the total amount of compensation deferred by the plan participants and earnings on the deferred compensation pursuant to investments elected by the plan participants. The Company’s liability as of December 31, 2022 and 2021 was approximately $31.7 million and $42.7 million, respectively, which are included in the accompanying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 Option and Incentive Plan</w:t>
      </w:r>
    </w:p>
    <w:p>
      <w:pPr>
        <w:spacing w:after="0" w:line="97" w:lineRule="exact"/>
        <w:rPr>
          <w:sz w:val="20"/>
          <w:szCs w:val="20"/>
          <w:color w:val="auto"/>
        </w:rPr>
      </w:pPr>
    </w:p>
    <w:p>
      <w:pPr>
        <w:ind w:right="20" w:firstLine="391"/>
        <w:spacing w:after="0" w:line="247" w:lineRule="auto"/>
        <w:rPr>
          <w:sz w:val="20"/>
          <w:szCs w:val="20"/>
          <w:color w:val="auto"/>
        </w:rPr>
      </w:pPr>
      <w:r>
        <w:rPr>
          <w:rFonts w:ascii="Arial" w:cs="Arial" w:eastAsia="Arial" w:hAnsi="Arial"/>
          <w:sz w:val="16"/>
          <w:szCs w:val="16"/>
          <w:color w:val="auto"/>
        </w:rPr>
        <w:t>At BXP’s 2021 annual meeting of stockholders held on May 20, 2021, its stockholders approved the Boston Properties, Inc. 2021 Stock Incentive Plan (the “2021 Plan”). The 2021 Plan replaces the Boston Properties, Inc. 2012 Stock Option and Incentive Plan (the “2012 Plan”) and no further awards will be issued under the 2012 Plan. The material features of the 2021 Plan include, among other things: (i) the maximum number of shares of common stock reserved and available for issuance under the 2021 Plan is 5,400,000 shares less one share for every one share that was granted between March 4, 2021 and May 19, 2021 under the 2012 Plan, (ii) shares of common stock underlying awards granted under the 2021 Plan or the 2012 Plan that are forfeited, canceled or otherwise terminated (other than by exercise) will be added back to the shares of common stock available for issuance under the 2021 Plan and, with respect to “full-value” awards under the 2021 Plan or the 2012 Plan, shares tendered or held back for taxes and shares previously reserved for issuance pursuant to such an award to the extent that such shares are not issued and are no longer issuable pursuant to such an award (e.g., in the event that a full-value award that may be settled in cash or by issuance of shares of common stock is settled in cash) will be added back to the shares available for issuance under the 2021 Plan, (iii) the award of stock options (both incentive and non-qualified options), stock appreciation rights, restricted stock units, restricted stock, unrestricted stock, dividend equivalent rights, cash-based awards and other equity-based awards (including LTIP Units) is permitted, (iv) stock options may not be repriced and “underwater” stock options may not be exchanged for another award or cash</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without stockholder approval; and (v) the term of the 2021 Plan is for ten years from the date of stockholder approval.</w:t>
      </w:r>
    </w:p>
    <w:p>
      <w:pPr>
        <w:spacing w:after="0" w:line="148" w:lineRule="exact"/>
        <w:rPr>
          <w:sz w:val="20"/>
          <w:szCs w:val="20"/>
          <w:color w:val="auto"/>
        </w:rPr>
      </w:pPr>
    </w:p>
    <w:p>
      <w:pPr>
        <w:ind w:right="120" w:firstLine="391"/>
        <w:spacing w:after="0" w:line="250" w:lineRule="auto"/>
        <w:rPr>
          <w:sz w:val="20"/>
          <w:szCs w:val="20"/>
          <w:color w:val="auto"/>
        </w:rPr>
      </w:pPr>
      <w:r>
        <w:rPr>
          <w:rFonts w:ascii="Arial" w:cs="Arial" w:eastAsia="Arial" w:hAnsi="Arial"/>
          <w:sz w:val="16"/>
          <w:szCs w:val="16"/>
          <w:color w:val="auto"/>
        </w:rPr>
        <w:t>On February 1, 2022, BXP’s Compensation Committee approved the 2022 MYLTIP awards under the 2021 Plan to certain officers and employees of BXP. The 2022 MYLTIP awards consist of two, equally weighted (50% each) components that utilize BXP’s TSR over a three-year measurement period as the performance metric.</w:t>
      </w:r>
    </w:p>
    <w:p>
      <w:pPr>
        <w:spacing w:after="0" w:line="136" w:lineRule="exact"/>
        <w:rPr>
          <w:sz w:val="20"/>
          <w:szCs w:val="20"/>
          <w:color w:val="auto"/>
        </w:rPr>
      </w:pPr>
    </w:p>
    <w:p>
      <w:pPr>
        <w:ind w:right="80" w:firstLine="391"/>
        <w:spacing w:after="0" w:line="248" w:lineRule="auto"/>
        <w:rPr>
          <w:sz w:val="20"/>
          <w:szCs w:val="20"/>
          <w:color w:val="auto"/>
        </w:rPr>
      </w:pPr>
      <w:r>
        <w:rPr>
          <w:rFonts w:ascii="Arial" w:cs="Arial" w:eastAsia="Arial" w:hAnsi="Arial"/>
          <w:sz w:val="16"/>
          <w:szCs w:val="16"/>
          <w:color w:val="auto"/>
        </w:rPr>
        <w:t>The first component of the 2022 MYLTIP represents one-half (50%) of the target grant-date value of the award. The number of LTIP Units that can be earned under this component ranges from zero to 200% of the target number of LTIP Units, based on BXP’s three-year, annualized relative TSR performance compared to a custom index of peer companies. Under this component, 100% of the target number of LTIP Units will be earned if BXP’s TSR equals the custom index TSR; for relative TSR performance between -1,000 basis points and +1,000 basis points, the number of LTIP Units earned will be determined using linear interpolation.</w:t>
      </w:r>
    </w:p>
    <w:p>
      <w:pPr>
        <w:spacing w:after="0" w:line="140"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second component represents the remaining one-half (50%) of the target grant-date value of the 2022 MYLTIP. The number of LTIP Units that can be earned under this component ranges from zero to 200% of the target number of LTIP Units, based on BXP’s non-annualized, cumulative absolute TSR during the three-year performance period. Under this component, 100% of the target number of LTIP Units will be earned if BXP achieves an absolute TSR equal to +1,000 basis points; if BXP’s absolute TSR is greater than -4,000 basis points but less than +6,000 basis points, then the number of LTIP Units earned will be determined using linear interpolation.</w:t>
      </w:r>
    </w:p>
    <w:p>
      <w:pPr>
        <w:spacing w:after="0" w:line="140" w:lineRule="exact"/>
        <w:rPr>
          <w:sz w:val="20"/>
          <w:szCs w:val="20"/>
          <w:color w:val="auto"/>
        </w:rPr>
      </w:pPr>
    </w:p>
    <w:p>
      <w:pPr>
        <w:ind w:firstLine="391"/>
        <w:spacing w:after="0" w:line="265" w:lineRule="auto"/>
        <w:rPr>
          <w:sz w:val="20"/>
          <w:szCs w:val="20"/>
          <w:color w:val="auto"/>
        </w:rPr>
      </w:pPr>
      <w:r>
        <w:rPr>
          <w:rFonts w:ascii="Arial" w:cs="Arial" w:eastAsia="Arial" w:hAnsi="Arial"/>
          <w:sz w:val="15"/>
          <w:szCs w:val="15"/>
          <w:color w:val="auto"/>
        </w:rPr>
        <w:t>Total earned awards under the 2022 MYLTIP, if any, will equal the sum of the number of LTIP Units earned under the first and second components and will range from zero to a maximum of 254,061 LTIP Units with a target of approximately 127,031 LTIP Units and linear interpolation between zero and maximum. Earned awards (if any) will vest 100% on January 31, 2025, but may not be converted, redeemed, sold or otherwise transferred for one additional year thereafter. Vesting will be accelerated in the event of a change in control, termination of employment by BXP without cause, or termination of employment by the award recipient for good reason, death, disability or retirement. If there is a change of control prior to January 31, 2025, earned awards will be calculated based on TSR performance up to the date of the change of control. The 2022 MYLTIP awards are in the form of LTIP Units issued on the grant date, and they are subject to forfeiture to the extent awards are not earned. Prior to the performance measurement date holders of the 2022 MYLTIP Units are only entitled to one-tenth (10%) of the regular quarterly distributions payable on common partnership units. Following the completion of the three-year performance period, the Company will also make a “catch-up” cash payment on the 2022 MYLTIP Units that are ultimately earned in an amount equal to the regular and special distributions, if any, declared during the performance period on BXP’s Common Stock, less the distributions actually paid to holders of 2022 MYLTIP Units during the performance period on all of the awarded 2022 MYLTIP Units. Under ASC 718 “Compensation - Stock Compensation,” the 2022 MYLTIP awards have an aggregate value of approximately $17.3 million, which amount will generally be amortized into earnings under the graded vesting method.</w:t>
      </w:r>
    </w:p>
    <w:p>
      <w:pPr>
        <w:spacing w:after="0" w:line="132" w:lineRule="exact"/>
        <w:rPr>
          <w:sz w:val="20"/>
          <w:szCs w:val="20"/>
          <w:color w:val="auto"/>
        </w:rPr>
      </w:pPr>
    </w:p>
    <w:p>
      <w:pPr>
        <w:ind w:right="240" w:firstLine="391"/>
        <w:spacing w:after="0" w:line="250" w:lineRule="auto"/>
        <w:rPr>
          <w:sz w:val="20"/>
          <w:szCs w:val="20"/>
          <w:color w:val="auto"/>
        </w:rPr>
      </w:pPr>
      <w:r>
        <w:rPr>
          <w:rFonts w:ascii="Arial" w:cs="Arial" w:eastAsia="Arial" w:hAnsi="Arial"/>
          <w:sz w:val="16"/>
          <w:szCs w:val="16"/>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36" w:lineRule="exact"/>
        <w:rPr>
          <w:sz w:val="20"/>
          <w:szCs w:val="20"/>
          <w:color w:val="auto"/>
        </w:rPr>
      </w:pPr>
    </w:p>
    <w:p>
      <w:pPr>
        <w:ind w:right="240" w:firstLine="391"/>
        <w:spacing w:after="0" w:line="250" w:lineRule="auto"/>
        <w:rPr>
          <w:sz w:val="20"/>
          <w:szCs w:val="20"/>
          <w:color w:val="auto"/>
        </w:rPr>
      </w:pPr>
      <w:r>
        <w:rPr>
          <w:rFonts w:ascii="Arial" w:cs="Arial" w:eastAsia="Arial" w:hAnsi="Arial"/>
          <w:sz w:val="16"/>
          <w:szCs w:val="16"/>
          <w:color w:val="auto"/>
        </w:rPr>
        <w:t>On February 5, 2021, the measurement period for the Company’s 2018 MYLTIP awards ended and, based on BXP’s relative TSR performance, the final awards were determined to be 29.2% of target, or an aggregate of approximately $4.6 million (after giving effect to employee separations). As a result, an aggregate of 285,925 2018 MYLTIP Units that had been previously granted were automatically forfeited.</w:t>
      </w:r>
    </w:p>
    <w:p>
      <w:pPr>
        <w:spacing w:after="0" w:line="136" w:lineRule="exact"/>
        <w:rPr>
          <w:sz w:val="20"/>
          <w:szCs w:val="20"/>
          <w:color w:val="auto"/>
        </w:rPr>
      </w:pPr>
    </w:p>
    <w:p>
      <w:pPr>
        <w:ind w:right="240" w:firstLine="391"/>
        <w:spacing w:after="0" w:line="258" w:lineRule="auto"/>
        <w:rPr>
          <w:sz w:val="20"/>
          <w:szCs w:val="20"/>
          <w:color w:val="auto"/>
        </w:rPr>
      </w:pPr>
      <w:r>
        <w:rPr>
          <w:rFonts w:ascii="Arial" w:cs="Arial" w:eastAsia="Arial" w:hAnsi="Arial"/>
          <w:sz w:val="16"/>
          <w:szCs w:val="16"/>
          <w:color w:val="auto"/>
        </w:rPr>
        <w:t>On February 6, 2020, the measurement period for the Company’s 2017 MYLTIP awards ended and, based on BXP’s relative TSR performance, the final awards were determined to be 83.8% of target, or an aggregate of approximately $17.6 million (after giving effect to employee separations). As a result, an aggregate of 270,942 2017 MYLTIP Units that had been previously granted were automatically forfeited.</w:t>
      </w:r>
    </w:p>
    <w:p>
      <w:pPr>
        <w:spacing w:after="0" w:line="130"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BXP issued 41,818, 57,383 and 29,630 shares of restricted common stock and BPLP issued 280,616, 281,640 and 207,181 LTIP Units to employees and non-employee directors under the 2012 Plan and the 2021 Plan during the years ended December 31, 2022, 2021 and 2020, respectively. BXP did not issue any non-qualified stock options under the 2012 Plan or 2021 Plan during the years ended December 31, 2022, 2021 and 2020. BPLP issued 254,061 2022 MYLTIP Units, 352,021 2021 MYLTIP Units and 203,278 2020 MYLTIP Units to employees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80" w:name="page181"/>
    <w:bookmarkEnd w:id="180"/>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80"/>
        <w:spacing w:after="0" w:line="263" w:lineRule="auto"/>
        <w:rPr>
          <w:sz w:val="20"/>
          <w:szCs w:val="20"/>
          <w:color w:val="auto"/>
        </w:rPr>
      </w:pPr>
      <w:r>
        <w:rPr>
          <w:rFonts w:ascii="Arial" w:cs="Arial" w:eastAsia="Arial" w:hAnsi="Arial"/>
          <w:sz w:val="15"/>
          <w:szCs w:val="15"/>
          <w:color w:val="auto"/>
        </w:rPr>
        <w:t>under the 2012 Plan and 2021 Plan during the years ended December 31, 2022, 2021 and 2020, respectively. Employees and non-employee directors paid $0.01 per share of restricted common stock and $0.25 per LTIP Unit and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Because the 2012 OPP Units and 2013</w:t>
      </w:r>
    </w:p>
    <w:p>
      <w:pPr>
        <w:spacing w:after="0" w:line="4" w:lineRule="exact"/>
        <w:rPr>
          <w:sz w:val="20"/>
          <w:szCs w:val="20"/>
          <w:color w:val="auto"/>
        </w:rPr>
      </w:pPr>
    </w:p>
    <w:p>
      <w:pPr>
        <w:ind w:left="5" w:right="20" w:hanging="5"/>
        <w:spacing w:after="0" w:line="248" w:lineRule="auto"/>
        <w:tabs>
          <w:tab w:leader="none" w:pos="10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2022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BXP’s Consolidated Balance Sheets and Partners’ Capital in BPLP’s Consolidated Balance Sheets. Aggregate stock-based compensation expense associated with restricted stock, LTIP Units and 2017 - 2022 MYLTIP Units was approximately $50.7 million, $49.7 million and $43.0 million for the years ended December 31, 2022, 2021 and 2020, respectively. At December 31, 2022, there was (1) an aggregate of approximately $20.6 million of unrecognized compensation expense related to unvested restricted stock and LTIP Units and (2) an aggregate of approximately $4.9 million of unrecognized compensation expense related to unvested 2020 - 2022 MYLTIP Units that is expected to be recognized over a weighted-average period of approximately 1.9 years.</w:t>
      </w:r>
    </w:p>
    <w:p>
      <w:pPr>
        <w:spacing w:after="0" w:line="137" w:lineRule="exact"/>
        <w:rPr>
          <w:sz w:val="20"/>
          <w:szCs w:val="20"/>
          <w:color w:val="auto"/>
        </w:rPr>
      </w:pPr>
    </w:p>
    <w:p>
      <w:pPr>
        <w:ind w:left="5" w:right="140" w:firstLine="391"/>
        <w:spacing w:after="0" w:line="253" w:lineRule="auto"/>
        <w:rPr>
          <w:sz w:val="20"/>
          <w:szCs w:val="20"/>
          <w:color w:val="auto"/>
        </w:rPr>
      </w:pPr>
      <w:r>
        <w:rPr>
          <w:rFonts w:ascii="Arial" w:cs="Arial" w:eastAsia="Arial" w:hAnsi="Arial"/>
          <w:sz w:val="16"/>
          <w:szCs w:val="16"/>
          <w:color w:val="auto"/>
        </w:rPr>
        <w:t>The shares of restricted stock were valued at approximately $4.7 million ($111.47 per share weighted-average), $5.8 million ($100.60 per share weighted-average) and $4.0 million ($133.81 per share weighted-average) for the years ended December 31, 2022, 2021 and 2020, respectively.</w:t>
      </w:r>
    </w:p>
    <w:p>
      <w:pPr>
        <w:spacing w:after="0" w:line="134" w:lineRule="exact"/>
        <w:rPr>
          <w:sz w:val="20"/>
          <w:szCs w:val="20"/>
          <w:color w:val="auto"/>
        </w:rPr>
      </w:pPr>
    </w:p>
    <w:p>
      <w:pPr>
        <w:ind w:left="5" w:right="160" w:firstLine="391"/>
        <w:spacing w:after="0" w:line="248" w:lineRule="auto"/>
        <w:rPr>
          <w:sz w:val="20"/>
          <w:szCs w:val="20"/>
          <w:color w:val="auto"/>
        </w:rPr>
      </w:pPr>
      <w:r>
        <w:rPr>
          <w:rFonts w:ascii="Arial" w:cs="Arial" w:eastAsia="Arial" w:hAnsi="Arial"/>
          <w:sz w:val="16"/>
          <w:szCs w:val="16"/>
          <w:color w:val="auto"/>
        </w:rPr>
        <w:t>LTIP Units were valued using a Monte Carlo simulation method model in accordance with the provisions of ASC 718. LTIP Units issued during the years ended December 31, 2022, 2021 and 2020 were valued at approximately $28.9 million, $23.8 million and $26.3 million, respectively. The weighted-average per unit fair value of LTIP Unit grants in 2022, 2021 and 2020 was $103.06, $84.43 and $127.14, respectively. The per unit fair value of each LTIP Unit granted in 2022, 2021 and 2020 was estimated on the date of grant using the following assumptions; an expected life of 5.7 years, 5.7 years and 5.7 years, a risk-free interest rate of 1.71%, 0.65% and 1.47% and an expected price volatility of 31.0%, 30.0% and 18.0%, respectively.</w:t>
      </w:r>
    </w:p>
    <w:p>
      <w:pPr>
        <w:spacing w:after="0" w:line="140" w:lineRule="exact"/>
        <w:rPr>
          <w:sz w:val="20"/>
          <w:szCs w:val="20"/>
          <w:color w:val="auto"/>
        </w:rPr>
      </w:pPr>
    </w:p>
    <w:p>
      <w:pPr>
        <w:ind w:left="385"/>
        <w:spacing w:after="0"/>
        <w:rPr>
          <w:sz w:val="20"/>
          <w:szCs w:val="20"/>
          <w:color w:val="auto"/>
        </w:rPr>
      </w:pPr>
      <w:r>
        <w:rPr>
          <w:rFonts w:ascii="Arial" w:cs="Arial" w:eastAsia="Arial" w:hAnsi="Arial"/>
          <w:sz w:val="16"/>
          <w:szCs w:val="16"/>
          <w:color w:val="auto"/>
        </w:rPr>
        <w:t>There were no non-qualified stock options granted during the years ended December 31, 2022, 2021 and 2020.</w:t>
      </w:r>
    </w:p>
    <w:p>
      <w:pPr>
        <w:spacing w:after="0" w:line="148" w:lineRule="exact"/>
        <w:rPr>
          <w:sz w:val="20"/>
          <w:szCs w:val="20"/>
          <w:color w:val="auto"/>
        </w:rPr>
      </w:pPr>
    </w:p>
    <w:p>
      <w:pPr>
        <w:ind w:left="385"/>
        <w:spacing w:after="0"/>
        <w:rPr>
          <w:sz w:val="20"/>
          <w:szCs w:val="20"/>
          <w:color w:val="auto"/>
        </w:rPr>
      </w:pPr>
      <w:r>
        <w:rPr>
          <w:rFonts w:ascii="Arial" w:cs="Arial" w:eastAsia="Arial" w:hAnsi="Arial"/>
          <w:sz w:val="15"/>
          <w:szCs w:val="15"/>
          <w:color w:val="auto"/>
        </w:rPr>
        <w:t>A summary of the status of BXP’s stock options as of December 31, 2022, 2021 and 2020 and changes during the years then ended are presented below:</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124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Shares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Weighted-Average</w:t>
            </w:r>
          </w:p>
        </w:tc>
        <w:tc>
          <w:tcPr>
            <w:tcW w:w="0" w:type="dxa"/>
            <w:vAlign w:val="bottom"/>
          </w:tcPr>
          <w:p>
            <w:pPr>
              <w:spacing w:after="0"/>
              <w:rPr>
                <w:sz w:val="1"/>
                <w:szCs w:val="1"/>
                <w:color w:val="auto"/>
              </w:rPr>
            </w:pPr>
          </w:p>
        </w:tc>
      </w:tr>
      <w:tr>
        <w:trPr>
          <w:trHeight w:val="166"/>
        </w:trPr>
        <w:tc>
          <w:tcPr>
            <w:tcW w:w="70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Exercise Price</w:t>
            </w:r>
          </w:p>
        </w:tc>
        <w:tc>
          <w:tcPr>
            <w:tcW w:w="0" w:type="dxa"/>
            <w:vAlign w:val="bottom"/>
          </w:tcPr>
          <w:p>
            <w:pPr>
              <w:spacing w:after="0"/>
              <w:rPr>
                <w:sz w:val="1"/>
                <w:szCs w:val="1"/>
                <w:color w:val="auto"/>
              </w:rPr>
            </w:pPr>
          </w:p>
        </w:tc>
      </w:tr>
      <w:tr>
        <w:trPr>
          <w:trHeight w:val="193"/>
        </w:trPr>
        <w:tc>
          <w:tcPr>
            <w:tcW w:w="7060" w:type="dxa"/>
            <w:vAlign w:val="bottom"/>
            <w:tcBorders>
              <w:top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Outstanding at December 31, 2019</w:t>
            </w:r>
          </w:p>
        </w:tc>
        <w:tc>
          <w:tcPr>
            <w:tcW w:w="1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395,353</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740" w:type="dxa"/>
            <w:vAlign w:val="bottom"/>
          </w:tcPr>
          <w:p>
            <w:pPr>
              <w:jc w:val="right"/>
              <w:spacing w:after="0"/>
              <w:rPr>
                <w:sz w:val="20"/>
                <w:szCs w:val="20"/>
                <w:color w:val="auto"/>
              </w:rPr>
            </w:pPr>
            <w:r>
              <w:rPr>
                <w:rFonts w:ascii="Arial" w:cs="Arial" w:eastAsia="Arial" w:hAnsi="Arial"/>
                <w:sz w:val="16"/>
                <w:szCs w:val="16"/>
                <w:color w:val="auto"/>
              </w:rPr>
              <w:t>(43,792)</w:t>
            </w:r>
          </w:p>
        </w:tc>
        <w:tc>
          <w:tcPr>
            <w:tcW w:w="2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0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at December 31, 2020</w:t>
            </w:r>
          </w:p>
        </w:tc>
        <w:tc>
          <w:tcPr>
            <w:tcW w:w="1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351,561</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740" w:type="dxa"/>
            <w:vAlign w:val="bottom"/>
          </w:tcPr>
          <w:p>
            <w:pPr>
              <w:jc w:val="right"/>
              <w:spacing w:after="0"/>
              <w:rPr>
                <w:sz w:val="20"/>
                <w:szCs w:val="20"/>
                <w:color w:val="auto"/>
              </w:rPr>
            </w:pPr>
            <w:r>
              <w:rPr>
                <w:rFonts w:ascii="Arial" w:cs="Arial" w:eastAsia="Arial" w:hAnsi="Arial"/>
                <w:sz w:val="16"/>
                <w:szCs w:val="16"/>
                <w:color w:val="auto"/>
              </w:rPr>
              <w:t>(247,920)</w:t>
            </w:r>
          </w:p>
        </w:tc>
        <w:tc>
          <w:tcPr>
            <w:tcW w:w="2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96.95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0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at December 31, 2021</w:t>
            </w:r>
          </w:p>
        </w:tc>
        <w:tc>
          <w:tcPr>
            <w:tcW w:w="1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103,641</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706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at December 31, 2022</w:t>
            </w:r>
          </w:p>
        </w:tc>
        <w:tc>
          <w:tcPr>
            <w:tcW w:w="124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103,641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9"/>
        </w:trPr>
        <w:tc>
          <w:tcPr>
            <w:tcW w:w="7060" w:type="dxa"/>
            <w:vAlign w:val="bottom"/>
            <w:tcBorders>
              <w:top w:val="single" w:sz="8" w:color="CCEEFF"/>
            </w:tcBorders>
          </w:tcPr>
          <w:p>
            <w:pPr>
              <w:ind w:left="5500"/>
              <w:spacing w:after="0"/>
              <w:rPr>
                <w:sz w:val="20"/>
                <w:szCs w:val="20"/>
                <w:color w:val="auto"/>
              </w:rPr>
            </w:pPr>
            <w:r>
              <w:rPr>
                <w:rFonts w:ascii="Arial" w:cs="Arial" w:eastAsia="Arial" w:hAnsi="Arial"/>
                <w:sz w:val="16"/>
                <w:szCs w:val="16"/>
                <w:color w:val="auto"/>
              </w:rPr>
              <w:t>176</w:t>
            </w:r>
          </w:p>
        </w:tc>
        <w:tc>
          <w:tcPr>
            <w:tcW w:w="1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0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about BXP’s stock options outstanding at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7"/>
              </w:rPr>
              <w:t>Options Outstanding</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Options Exercisable</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8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Number Outstanding at</w:t>
            </w:r>
          </w:p>
        </w:tc>
        <w:tc>
          <w:tcPr>
            <w:tcW w:w="190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6"/>
              </w:rPr>
              <w:t>Weighted-Average</w:t>
            </w: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60" w:type="dxa"/>
            <w:vAlign w:val="bottom"/>
            <w:gridSpan w:val="2"/>
            <w:vMerge w:val="continue"/>
          </w:tcPr>
          <w:p>
            <w:pPr>
              <w:spacing w:after="0"/>
              <w:rPr>
                <w:sz w:val="11"/>
                <w:szCs w:val="11"/>
                <w:color w:val="auto"/>
              </w:rPr>
            </w:pPr>
          </w:p>
        </w:tc>
        <w:tc>
          <w:tcPr>
            <w:tcW w:w="190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99"/>
              </w:rPr>
              <w:t>Remaining</w:t>
            </w:r>
          </w:p>
        </w:tc>
        <w:tc>
          <w:tcPr>
            <w:tcW w:w="240" w:type="dxa"/>
            <w:vAlign w:val="bottom"/>
          </w:tcPr>
          <w:p>
            <w:pPr>
              <w:spacing w:after="0"/>
              <w:rPr>
                <w:sz w:val="11"/>
                <w:szCs w:val="11"/>
                <w:color w:val="auto"/>
              </w:rPr>
            </w:pPr>
          </w:p>
        </w:tc>
        <w:tc>
          <w:tcPr>
            <w:tcW w:w="1440" w:type="dxa"/>
            <w:vAlign w:val="bottom"/>
            <w:vMerge w:val="restart"/>
          </w:tcPr>
          <w:p>
            <w:pPr>
              <w:jc w:val="right"/>
              <w:ind w:right="346"/>
              <w:spacing w:after="0"/>
              <w:rPr>
                <w:sz w:val="20"/>
                <w:szCs w:val="20"/>
                <w:color w:val="auto"/>
              </w:rPr>
            </w:pPr>
            <w:r>
              <w:rPr>
                <w:rFonts w:ascii="Arial" w:cs="Arial" w:eastAsia="Arial" w:hAnsi="Arial"/>
                <w:sz w:val="13"/>
                <w:szCs w:val="13"/>
                <w:b w:val="1"/>
                <w:bCs w:val="1"/>
                <w:color w:val="auto"/>
              </w:rPr>
              <w:t>Exercise Price</w:t>
            </w:r>
          </w:p>
        </w:tc>
        <w:tc>
          <w:tcPr>
            <w:tcW w:w="1620" w:type="dxa"/>
            <w:vAlign w:val="bottom"/>
          </w:tcPr>
          <w:p>
            <w:pPr>
              <w:spacing w:after="0"/>
              <w:rPr>
                <w:sz w:val="11"/>
                <w:szCs w:val="11"/>
                <w:color w:val="auto"/>
              </w:rPr>
            </w:pPr>
          </w:p>
        </w:tc>
        <w:tc>
          <w:tcPr>
            <w:tcW w:w="19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Number Exercisable at 12/31/22</w:t>
            </w:r>
          </w:p>
        </w:tc>
        <w:tc>
          <w:tcPr>
            <w:tcW w:w="24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vMerge w:val="restart"/>
          </w:tcPr>
          <w:p>
            <w:pPr>
              <w:jc w:val="right"/>
              <w:ind w:right="486"/>
              <w:spacing w:after="0"/>
              <w:rPr>
                <w:sz w:val="20"/>
                <w:szCs w:val="20"/>
                <w:color w:val="auto"/>
              </w:rPr>
            </w:pPr>
            <w:r>
              <w:rPr>
                <w:rFonts w:ascii="Arial" w:cs="Arial" w:eastAsia="Arial" w:hAnsi="Arial"/>
                <w:sz w:val="13"/>
                <w:szCs w:val="13"/>
                <w:b w:val="1"/>
                <w:bCs w:val="1"/>
                <w:color w:val="auto"/>
                <w:w w:val="98"/>
              </w:rPr>
              <w:t>Exercise Price</w:t>
            </w:r>
          </w:p>
        </w:tc>
        <w:tc>
          <w:tcPr>
            <w:tcW w:w="0" w:type="dxa"/>
            <w:vAlign w:val="bottom"/>
          </w:tcPr>
          <w:p>
            <w:pPr>
              <w:spacing w:after="0"/>
              <w:rPr>
                <w:sz w:val="1"/>
                <w:szCs w:val="1"/>
                <w:color w:val="auto"/>
              </w:rPr>
            </w:pPr>
          </w:p>
        </w:tc>
      </w:tr>
      <w:tr>
        <w:trPr>
          <w:trHeight w:val="166"/>
        </w:trPr>
        <w:tc>
          <w:tcPr>
            <w:tcW w:w="166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12/31/22</w:t>
            </w:r>
          </w:p>
        </w:tc>
        <w:tc>
          <w:tcPr>
            <w:tcW w:w="2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Contractual Life</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54,282</w:t>
            </w:r>
          </w:p>
        </w:tc>
        <w:tc>
          <w:tcPr>
            <w:tcW w:w="2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0.3 years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95.69</w:t>
            </w:r>
          </w:p>
        </w:tc>
        <w:tc>
          <w:tcPr>
            <w:tcW w:w="1620" w:type="dxa"/>
            <w:vAlign w:val="bottom"/>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54,282</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95.69</w:t>
            </w:r>
          </w:p>
        </w:tc>
        <w:tc>
          <w:tcPr>
            <w:tcW w:w="0" w:type="dxa"/>
            <w:vAlign w:val="bottom"/>
          </w:tcPr>
          <w:p>
            <w:pPr>
              <w:spacing w:after="0"/>
              <w:rPr>
                <w:sz w:val="1"/>
                <w:szCs w:val="1"/>
                <w:color w:val="auto"/>
              </w:rPr>
            </w:pPr>
          </w:p>
        </w:tc>
      </w:tr>
      <w:tr>
        <w:trPr>
          <w:trHeight w:val="200"/>
        </w:trPr>
        <w:tc>
          <w:tcPr>
            <w:tcW w:w="1660" w:type="dxa"/>
            <w:vAlign w:val="bottom"/>
          </w:tcPr>
          <w:p>
            <w:pPr>
              <w:jc w:val="right"/>
              <w:spacing w:after="0"/>
              <w:rPr>
                <w:sz w:val="20"/>
                <w:szCs w:val="20"/>
                <w:color w:val="auto"/>
              </w:rPr>
            </w:pPr>
            <w:r>
              <w:rPr>
                <w:rFonts w:ascii="Arial" w:cs="Arial" w:eastAsia="Arial" w:hAnsi="Arial"/>
                <w:sz w:val="16"/>
                <w:szCs w:val="16"/>
                <w:color w:val="auto"/>
              </w:rPr>
              <w:t>49,359</w:t>
            </w:r>
          </w:p>
        </w:tc>
        <w:tc>
          <w:tcPr>
            <w:tcW w:w="200" w:type="dxa"/>
            <w:vAlign w:val="bottom"/>
          </w:tcPr>
          <w:p>
            <w:pPr>
              <w:spacing w:after="0"/>
              <w:rPr>
                <w:sz w:val="17"/>
                <w:szCs w:val="17"/>
                <w:color w:val="auto"/>
              </w:rPr>
            </w:pPr>
          </w:p>
        </w:tc>
        <w:tc>
          <w:tcPr>
            <w:tcW w:w="1900" w:type="dxa"/>
            <w:vAlign w:val="bottom"/>
            <w:gridSpan w:val="2"/>
          </w:tcPr>
          <w:p>
            <w:pPr>
              <w:ind w:left="1020"/>
              <w:spacing w:after="0"/>
              <w:rPr>
                <w:sz w:val="20"/>
                <w:szCs w:val="20"/>
                <w:color w:val="auto"/>
              </w:rPr>
            </w:pPr>
            <w:r>
              <w:rPr>
                <w:rFonts w:ascii="Arial" w:cs="Arial" w:eastAsia="Arial" w:hAnsi="Arial"/>
                <w:sz w:val="16"/>
                <w:szCs w:val="16"/>
                <w:color w:val="auto"/>
              </w:rPr>
              <w:t>0.1 years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98.46</w:t>
            </w:r>
          </w:p>
        </w:tc>
        <w:tc>
          <w:tcPr>
            <w:tcW w:w="3600" w:type="dxa"/>
            <w:vAlign w:val="bottom"/>
            <w:gridSpan w:val="2"/>
          </w:tcPr>
          <w:p>
            <w:pPr>
              <w:jc w:val="right"/>
              <w:spacing w:after="0"/>
              <w:rPr>
                <w:sz w:val="20"/>
                <w:szCs w:val="20"/>
                <w:color w:val="auto"/>
              </w:rPr>
            </w:pPr>
            <w:r>
              <w:rPr>
                <w:rFonts w:ascii="Arial" w:cs="Arial" w:eastAsia="Arial" w:hAnsi="Arial"/>
                <w:sz w:val="16"/>
                <w:szCs w:val="16"/>
                <w:color w:val="auto"/>
              </w:rPr>
              <w:t>49,359</w:t>
            </w:r>
          </w:p>
        </w:tc>
        <w:tc>
          <w:tcPr>
            <w:tcW w:w="24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
              <w:spacing w:after="0"/>
              <w:rPr>
                <w:sz w:val="20"/>
                <w:szCs w:val="20"/>
                <w:color w:val="auto"/>
              </w:rPr>
            </w:pPr>
            <w:r>
              <w:rPr>
                <w:rFonts w:ascii="Arial" w:cs="Arial" w:eastAsia="Arial" w:hAnsi="Arial"/>
                <w:sz w:val="16"/>
                <w:szCs w:val="16"/>
                <w:color w:val="auto"/>
              </w:rPr>
              <w:t>98.46</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right="220" w:firstLine="391"/>
        <w:spacing w:after="0" w:line="253" w:lineRule="auto"/>
        <w:rPr>
          <w:sz w:val="20"/>
          <w:szCs w:val="20"/>
          <w:color w:val="auto"/>
        </w:rPr>
      </w:pPr>
      <w:r>
        <w:rPr>
          <w:rFonts w:ascii="Arial" w:cs="Arial" w:eastAsia="Arial" w:hAnsi="Arial"/>
          <w:sz w:val="16"/>
          <w:szCs w:val="16"/>
          <w:color w:val="auto"/>
        </w:rPr>
        <w:t>There was no total intrinsic value for the outstanding and exercisable stock options as of December 31, 2022. In addition, BXP had 103,641 and 103,641 options exercisable and vested at a weighted-average exercise price of $97.01 and $97.01 at December 31, 2022 and 2021, respectively.</w:t>
      </w:r>
    </w:p>
    <w:p>
      <w:pPr>
        <w:spacing w:after="0" w:line="134"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BXP adopted the 1999 Non-Qualified Employee Stock Purchase Plan (the “Stock Purchase Plan”) to encourage the ownership of Common Stock by eligible employees. The Stock Purchase Plan became effective on January 1, 1999 with an aggregate maximum of 250,000 shares of Common Stock available for issuance. The Stock Purchase Plan provides for eligible employees to purchase on the business day immediately following the end of the biannual purchase periods (i.e., January 1-June 30 and July 1-December 31) shares of Common Stock at a purchase price equal to 85% of the average closing prices of the Common Stock during the last ten business days of the purchase period. BXP issued 9,813, 9,846 and 7,195 shares with the weighted-average purchase price equal to $87.30 per share, $89.73 per share and $90.53 per share under the Stock Purchase Plan during the years ended December 31, 2022,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Party Transactions</w:t>
      </w:r>
    </w:p>
    <w:p>
      <w:pPr>
        <w:spacing w:after="0" w:line="109" w:lineRule="exact"/>
        <w:rPr>
          <w:sz w:val="20"/>
          <w:szCs w:val="20"/>
          <w:color w:val="auto"/>
        </w:rPr>
      </w:pPr>
    </w:p>
    <w:p>
      <w:pPr>
        <w:ind w:right="120" w:firstLine="391"/>
        <w:spacing w:after="0" w:line="248" w:lineRule="auto"/>
        <w:rPr>
          <w:sz w:val="20"/>
          <w:szCs w:val="20"/>
          <w:color w:val="auto"/>
        </w:rPr>
      </w:pPr>
      <w:r>
        <w:rPr>
          <w:rFonts w:ascii="Arial" w:cs="Arial" w:eastAsia="Arial" w:hAnsi="Arial"/>
          <w:sz w:val="16"/>
          <w:szCs w:val="16"/>
          <w:color w:val="auto"/>
        </w:rPr>
        <w:t>A firm controlled by Mr. Raymond A. Ritchey’s brother was paid aggregate leasing commissions of approximately $914,000 during the year ended December 31, 2020 related to certain exclusive leasing arrangements for certain Northern Virginia properties. There were no payments made for the years ended December 31, 2022 and 2021. In addition, Mr. Ritchey’s brother is employed by a real estate brokerage firm and participated in brokerage activities for which the Company paid the firm approximately $1.6 million, $1.9 million and $3.4 million for the years ended December 31, 2022, 2021 and 2020, respectively. Mr. Ritchey is a Senior Executive Vice President of BXP.</w:t>
      </w:r>
    </w:p>
    <w:p>
      <w:pPr>
        <w:spacing w:after="0" w:line="140"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July 13, 2018, the Company entered into a joint venture with a third party to acquire a development site at 3 Hudson Boulevard that, upon the future acquisition of additional available development rights, can accommodate an office tower with up to 2.0 million net rentable square feet located on the entire square block between 11th Avenue and Hudson Boulevard Park from West 34th Street to West 35th Street in New York City. The Company owns a 25% interest in, and is the managing member of, the joint venture. The Company provided $80.0 million of mortgage financing to the joint venture that bears interest at a variable rate equal to LIBOR plus 3.50% per annum and matures on July 13, 2023, with extension options, subject to certain conditions. The loan has been reflected as a Related Party Note Receivable, Net on the Company’s Consolidated Balance Sheets. The Company has recognized interest income of approximately $5.6 million, $3.6 million and $2.7 million for the years ended December 31, 2022, 2021 and 2020, respectively. The Company's policy is to record notes receivable at their unamortized cost, net of any unamortized deferred fees or costs, premiums or discounts and an allowance for loan losses. Loan fees and direct costs associated with loans originated by the Company are deferred and amortized over the term of the note as interest income.</w:t>
      </w:r>
    </w:p>
    <w:p>
      <w:pPr>
        <w:spacing w:after="0" w:line="138" w:lineRule="exact"/>
        <w:rPr>
          <w:sz w:val="20"/>
          <w:szCs w:val="20"/>
          <w:color w:val="auto"/>
        </w:rPr>
      </w:pPr>
    </w:p>
    <w:p>
      <w:pPr>
        <w:ind w:right="20" w:firstLine="391"/>
        <w:spacing w:after="0" w:line="248" w:lineRule="auto"/>
        <w:rPr>
          <w:sz w:val="20"/>
          <w:szCs w:val="20"/>
          <w:color w:val="auto"/>
        </w:rPr>
      </w:pPr>
      <w:r>
        <w:rPr>
          <w:rFonts w:ascii="Arial" w:cs="Arial" w:eastAsia="Arial" w:hAnsi="Arial"/>
          <w:sz w:val="16"/>
          <w:szCs w:val="16"/>
          <w:color w:val="auto"/>
        </w:rPr>
        <w:t>In accordance with the 2021 Plan, and as approved by its Board of Directors, seven non-employee directors made elections to receive deferred stock units in lieu of cash fees for 2022. As a result of these elections, the aggregate cash fees otherwise payable to a non-employee director during a fiscal quarter are converted into a number of deferred stock units equal to the aggregate cash fees divided by the last reported sales price of a share of BXP’s Common Stock on the last trading of the applicable fiscal quarter. The deferred stock units are also credited with dividend equivalents as dividends are paid by BXP. The deferred stock units may be settled in shares of Common Stock upon the cessation of such director’s service on the Board of Directors of BXP. The non-employee director compensation program provides, subject to certain conditions, the non-employee directors holding deferred stock units with the ability to elect, following cessation of their service on BXP’s Board of Directors, to diversify their investment elections into non-employer securities on a pre-tax basis and receive tax-deferred returns on such deferrals, which will ultimately be settled in cash. The Company’s obligation under the plan is that of an unsecured promise to pay the deferred compensation to the non-employee director in the future. At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December 31, 2022 and 2021, the Company had maintained approximately $0.6 million and $0.9 million, respectively, in a separate account, which is not restricted as to its use. The Company’s liability under the plan is equal to the total amount of compensation deferred by the non-employee director and earnings on the deferred compensation pursuant to investments elected by the non-employee director. The Company’s liability as of December 31, 2022 and 2021 was approximately $0.6 million and $0.9 million, respectively, which is included in the accompanying Consolidated Balance Sheets. The terms of the non-employee director compensation program require the classification of these deferred stock units as temporary equity on the Consolidated Balance Sheets of Boston Properties, Inc. and Boston Properties Limited Partnership within Redeemable Deferred Stock Units. On December 16, 2021, in connection with the resignation of a director’s service on the Board of Directors of BXP, BXP issued 498 shares of Common Stock in settlement of the director’s outstanding deferred stock units. At December 31, 2022 and 2021, BXP had outstanding 97,853 and 83,073 deferred stock units,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97"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On January 4, 2023, BPLP entered into the 2023 Unsecured Term Loan, which provided for a single borrowing of up to $1.2 billion.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2022 Unsecured Term Loan, which was scheduled to mature on May 16, 2023 (see Note 7).</w:t>
      </w:r>
    </w:p>
    <w:p>
      <w:pPr>
        <w:spacing w:after="0" w:line="139" w:lineRule="exact"/>
        <w:rPr>
          <w:sz w:val="20"/>
          <w:szCs w:val="20"/>
          <w:color w:val="auto"/>
        </w:rPr>
      </w:pPr>
    </w:p>
    <w:p>
      <w:pPr>
        <w:ind w:right="60" w:firstLine="387"/>
        <w:spacing w:after="0" w:line="269" w:lineRule="auto"/>
        <w:rPr>
          <w:sz w:val="20"/>
          <w:szCs w:val="20"/>
          <w:color w:val="auto"/>
        </w:rPr>
      </w:pPr>
      <w:r>
        <w:rPr>
          <w:rFonts w:ascii="Arial" w:cs="Arial" w:eastAsia="Arial" w:hAnsi="Arial"/>
          <w:sz w:val="15"/>
          <w:szCs w:val="15"/>
          <w:color w:val="auto"/>
        </w:rPr>
        <w:t>At BPLP’s option, loans under the 2023 Unsecured Term Loan will bear interest at a rate per annum equal to (1) a base rate equal to the greatest of (a) the Federal Funds rate plus 1/2 of 1%,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Based on BPLP’s credit rating upon entry into the credit agreement, the base rate margin is 0 basis points and the Term SOFR margin is 0.85%. The 2023 Unsecured Term Loan currently bears interest at a rate equal to adjusted Term SOFR plus 0.85%.</w:t>
      </w:r>
    </w:p>
    <w:p>
      <w:pPr>
        <w:spacing w:after="0" w:line="124" w:lineRule="exact"/>
        <w:rPr>
          <w:sz w:val="20"/>
          <w:szCs w:val="20"/>
          <w:color w:val="auto"/>
        </w:rPr>
      </w:pPr>
    </w:p>
    <w:p>
      <w:pPr>
        <w:ind w:firstLine="387"/>
        <w:spacing w:after="0" w:line="250" w:lineRule="auto"/>
        <w:rPr>
          <w:sz w:val="20"/>
          <w:szCs w:val="20"/>
          <w:color w:val="auto"/>
        </w:rPr>
      </w:pPr>
      <w:r>
        <w:rPr>
          <w:rFonts w:ascii="Arial" w:cs="Arial" w:eastAsia="Arial" w:hAnsi="Arial"/>
          <w:sz w:val="16"/>
          <w:szCs w:val="16"/>
          <w:color w:val="auto"/>
        </w:rPr>
        <w:t>On January 5, 2023, the Company commenced the development of 290 Binney Street, an approximately 566,000 net rentable square feet laboratory/life sciences project in Cambridge, Massachusetts. Concurrent with the commencement of this project, the Company began demolition of the existing Kendall Center Blue Parking Garage to support the development of this project. 290 Binney Street is 100% pre-leased to AstraZeneca (See Note 3).</w:t>
      </w:r>
    </w:p>
    <w:p>
      <w:pPr>
        <w:spacing w:after="0" w:line="136" w:lineRule="exact"/>
        <w:rPr>
          <w:sz w:val="20"/>
          <w:szCs w:val="20"/>
          <w:color w:val="auto"/>
        </w:rPr>
      </w:pPr>
    </w:p>
    <w:p>
      <w:pPr>
        <w:jc w:val="both"/>
        <w:ind w:right="360" w:firstLine="387"/>
        <w:spacing w:after="0" w:line="250" w:lineRule="auto"/>
        <w:rPr>
          <w:sz w:val="20"/>
          <w:szCs w:val="20"/>
          <w:color w:val="auto"/>
        </w:rPr>
      </w:pPr>
      <w:r>
        <w:rPr>
          <w:rFonts w:ascii="Arial" w:cs="Arial" w:eastAsia="Arial" w:hAnsi="Arial"/>
          <w:sz w:val="16"/>
          <w:szCs w:val="16"/>
          <w:color w:val="auto"/>
        </w:rPr>
        <w:t>On January 30, 2023, the Company commenced the redevelopment of 300 Binney Street at Kendall Center in Cambridge, Massachusetts. 300 Binney Street consisted of an approximately 195,000 net rentable square foot premier workplace that is being redeveloped into approximately 240,000 net rentable square feet of laboratory/life sciences space. The project is 100% pre-leased to a life sciences organization.</w:t>
      </w:r>
    </w:p>
    <w:p>
      <w:pPr>
        <w:spacing w:after="0" w:line="136" w:lineRule="exact"/>
        <w:rPr>
          <w:sz w:val="20"/>
          <w:szCs w:val="20"/>
          <w:color w:val="auto"/>
        </w:rPr>
      </w:pPr>
    </w:p>
    <w:p>
      <w:pPr>
        <w:ind w:right="80" w:firstLine="387"/>
        <w:spacing w:after="0" w:line="248" w:lineRule="auto"/>
        <w:rPr>
          <w:sz w:val="20"/>
          <w:szCs w:val="20"/>
          <w:color w:val="auto"/>
        </w:rPr>
      </w:pPr>
      <w:r>
        <w:rPr>
          <w:rFonts w:ascii="Arial" w:cs="Arial" w:eastAsia="Arial" w:hAnsi="Arial"/>
          <w:sz w:val="16"/>
          <w:szCs w:val="16"/>
          <w:color w:val="auto"/>
        </w:rPr>
        <w:t>On January 31, 2023, the Company acquired a 50% interest in a joint venture that owns 13100 and 13150 Worldgate Drive located in Herndon, Virginia for a gross purchase price of approximately $17.0 million. The acquisition was completed with available cash. 13100 and 13150 Worldgate Drive consists of two vacant office buildings aggregating approximately 350,000 rentable square feet and a 1,200-space structured parking deck situated on a 10-acre site. The joint venture intends to redevelop the property for residential use. There can be no assurance that the joint venture will commence the development on the terms currently contemplated or at all.</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January 25, 2023, BXP’s Compensation Committee approved the 2023 Multi-Year Long-Term Incentive Program (the “2023 MYLTIP”) awards under the</w:t>
      </w:r>
    </w:p>
    <w:p>
      <w:pPr>
        <w:spacing w:after="0" w:line="17" w:lineRule="exact"/>
        <w:rPr>
          <w:sz w:val="20"/>
          <w:szCs w:val="20"/>
          <w:color w:val="auto"/>
        </w:rPr>
      </w:pPr>
    </w:p>
    <w:p>
      <w:pPr>
        <w:ind w:right="560"/>
        <w:spacing w:after="0" w:line="250" w:lineRule="auto"/>
        <w:rPr>
          <w:sz w:val="20"/>
          <w:szCs w:val="20"/>
          <w:color w:val="auto"/>
        </w:rPr>
      </w:pPr>
      <w:r>
        <w:rPr>
          <w:rFonts w:ascii="Arial" w:cs="Arial" w:eastAsia="Arial" w:hAnsi="Arial"/>
          <w:sz w:val="16"/>
          <w:szCs w:val="16"/>
          <w:color w:val="auto"/>
        </w:rPr>
        <w:t>2021 Plan to certain executive officers of BXP. Earned awards will range from zero to a maximum of 322,053 LTIP Units depending on BXP’s relative and absolute TSR performance, with a target of approximately 161,026 LTIP Units. Under ASC 718, the 2023 MYLTIP awards have an aggregate value of approximately $13.1 million.</w:t>
      </w:r>
    </w:p>
    <w:p>
      <w:pPr>
        <w:spacing w:after="0" w:line="136" w:lineRule="exact"/>
        <w:rPr>
          <w:sz w:val="20"/>
          <w:szCs w:val="20"/>
          <w:color w:val="auto"/>
        </w:rPr>
      </w:pPr>
    </w:p>
    <w:p>
      <w:pPr>
        <w:ind w:right="400" w:firstLine="387"/>
        <w:spacing w:after="0" w:line="253" w:lineRule="auto"/>
        <w:rPr>
          <w:sz w:val="20"/>
          <w:szCs w:val="20"/>
          <w:color w:val="auto"/>
        </w:rPr>
      </w:pPr>
      <w:r>
        <w:rPr>
          <w:rFonts w:ascii="Arial" w:cs="Arial" w:eastAsia="Arial" w:hAnsi="Arial"/>
          <w:sz w:val="16"/>
          <w:szCs w:val="16"/>
          <w:color w:val="auto"/>
        </w:rPr>
        <w:t>On February 3, 2023 and February 7, 2023, BXP issued an aggregate of 64,731 shares of restricted common stock and BPLP issued an aggregate of 401,543 LTIP Units under the 2021 Plan to certain employees of BXP.</w:t>
      </w:r>
    </w:p>
    <w:p>
      <w:pPr>
        <w:spacing w:after="0" w:line="134" w:lineRule="exact"/>
        <w:rPr>
          <w:sz w:val="20"/>
          <w:szCs w:val="20"/>
          <w:color w:val="auto"/>
        </w:rPr>
      </w:pPr>
    </w:p>
    <w:p>
      <w:pPr>
        <w:ind w:right="220" w:firstLine="391"/>
        <w:spacing w:after="0" w:line="253" w:lineRule="auto"/>
        <w:rPr>
          <w:sz w:val="20"/>
          <w:szCs w:val="20"/>
          <w:color w:val="auto"/>
        </w:rPr>
      </w:pPr>
      <w:r>
        <w:rPr>
          <w:rFonts w:ascii="Arial" w:cs="Arial" w:eastAsia="Arial" w:hAnsi="Arial"/>
          <w:sz w:val="16"/>
          <w:szCs w:val="16"/>
          <w:color w:val="auto"/>
        </w:rPr>
        <w:t>On February 3, 2023, the measurement period for the Company’s 2020 MYLTIP awards ended and, based on BXP.’s relative TSR performance, the final payout was determined to be 50% of target, or an aggregate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approximately $3.8 million (after giving effect to employee separations). As a result, an aggregate of 152,460 2020 MYLTIP Units that had been previously granted were automatically forfeited.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Changes in and Disagreements with Accountants on Accounting and Financial Disclosures.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b w:val="1"/>
          <w:bCs w:val="1"/>
          <w:i w:val="1"/>
          <w:iCs w:val="1"/>
          <w:color w:val="auto"/>
        </w:rPr>
        <w:t>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Boston Properties, Inc.</w:t>
      </w:r>
    </w:p>
    <w:p>
      <w:pPr>
        <w:spacing w:after="0" w:line="95" w:lineRule="exact"/>
        <w:rPr>
          <w:sz w:val="20"/>
          <w:szCs w:val="20"/>
          <w:color w:val="auto"/>
        </w:rPr>
      </w:pPr>
    </w:p>
    <w:p>
      <w:pPr>
        <w:ind w:right="60" w:firstLine="391"/>
        <w:spacing w:after="0" w:line="248" w:lineRule="auto"/>
        <w:rPr>
          <w:sz w:val="20"/>
          <w:szCs w:val="20"/>
          <w:color w:val="auto"/>
        </w:rPr>
      </w:pPr>
      <w:r>
        <w:rPr>
          <w:rFonts w:ascii="Arial" w:cs="Arial" w:eastAsia="Arial" w:hAnsi="Arial"/>
          <w:sz w:val="16"/>
          <w:szCs w:val="16"/>
          <w:color w:val="auto"/>
        </w:rPr>
        <w:t>As of the end of the period covered by this report, an evaluation was carried out by our management, with the participation of Boston Properties, Inc.’s Chief Executive Officer (Principal Executive Officer) and Chief Financial Officer (Principal Financial Officer), of the effectiveness of its disclosure controls and procedures (as defined in Rule 13a-15(e) under the Securities Exchange Act of 1934). Based upon that evaluation, Boston Properties, Inc.’s Chief Executive Officer and Chief Financial Officer concluded that these disclosure controls and procedures were effective as of the end of the period covered by this report. In addition, no change in Boston Properties, Inc.’s internal control over financial reporting (as defined in Rule 13a-15(f) under the Securities Exchange Act of 1934) occurred during the fourth quarter of Boston Properties, Inc.’s fiscal year ended December 31, 2022 that has materially affected, or is reasonably likely to materially affect, Boston Properties, Inc.’s internal control over financial reporting.</w:t>
      </w:r>
    </w:p>
    <w:p>
      <w:pPr>
        <w:spacing w:after="0" w:line="139"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Management’s Report on Internal Control over Financial Reporting is set forth on page 106 of this Annual Report on Form 10-K and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Boston Properties Limited Partnership</w:t>
      </w:r>
    </w:p>
    <w:p>
      <w:pPr>
        <w:spacing w:after="0" w:line="107"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As of the end of the period covered by this report, an evaluation was carried out by the management of Boston Properties, Inc., the sole general partner of Boston Properties Limited Partnership, with the participation of its Chief Executive Officer (Principal Executive Officer) and Chief Financial Officer (Principal Financial Officer), of the effectiveness of its disclosure controls and procedures (as defined in Rule 13a-15(e) under the Securities Exchange Act of 1934). Based upon that evaluation, the Chief Executive Officer and Chief Financial Officer of Boston Properties, Inc. concluded that these disclosure controls and procedures were effective as of the end of the period covered by this report. In addition, no change in its internal control over financial reporting (as defined in Rule 13a-15(f) under the Securities Exchange Act of 1934) occurred during the fourth quarter of its fiscal year ended December 31, 2022 that has materially affected, or is reasonably likely to materially affect, its internal control over financial reporting.</w:t>
      </w:r>
    </w:p>
    <w:p>
      <w:pPr>
        <w:spacing w:after="0" w:line="139"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Management’s Report on Internal Control over Financial Reporting is set forth on page 119 of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b w:val="1"/>
          <w:bCs w:val="1"/>
          <w:i w:val="1"/>
          <w:iCs w:val="1"/>
          <w:color w:val="auto"/>
        </w:rPr>
        <w:t>Other Information.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9C. </w:t>
      </w:r>
      <w:r>
        <w:rPr>
          <w:rFonts w:ascii="Arial" w:cs="Arial" w:eastAsia="Arial" w:hAnsi="Arial"/>
          <w:sz w:val="16"/>
          <w:szCs w:val="16"/>
          <w:b w:val="1"/>
          <w:bCs w:val="1"/>
          <w:i w:val="1"/>
          <w:iCs w:val="1"/>
          <w:color w:val="auto"/>
        </w:rPr>
        <w:t>Disclosure Regarding Foreign Jurisdictions that Prevent Inspections.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Directors, Executive Officers and Corporate Governance.</w:t>
      </w:r>
    </w:p>
    <w:p>
      <w:pPr>
        <w:spacing w:after="0" w:line="109" w:lineRule="exact"/>
        <w:rPr>
          <w:sz w:val="20"/>
          <w:szCs w:val="20"/>
          <w:color w:val="auto"/>
        </w:rPr>
      </w:pPr>
    </w:p>
    <w:p>
      <w:pPr>
        <w:ind w:right="680" w:firstLine="391"/>
        <w:spacing w:after="0" w:line="253" w:lineRule="auto"/>
        <w:rPr>
          <w:sz w:val="20"/>
          <w:szCs w:val="20"/>
          <w:color w:val="auto"/>
        </w:rPr>
      </w:pPr>
      <w:r>
        <w:rPr>
          <w:rFonts w:ascii="Arial" w:cs="Arial" w:eastAsia="Arial" w:hAnsi="Arial"/>
          <w:sz w:val="16"/>
          <w:szCs w:val="16"/>
          <w:color w:val="auto"/>
        </w:rPr>
        <w:t>The information required by Item 10 will be included in the Proxy Statement to be filed relating to Boston Properties, Inc.’s 2023 Annual Meeting of Stockholders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Executive Compensation.</w:t>
      </w:r>
    </w:p>
    <w:p>
      <w:pPr>
        <w:spacing w:after="0" w:line="109" w:lineRule="exact"/>
        <w:rPr>
          <w:sz w:val="20"/>
          <w:szCs w:val="20"/>
          <w:color w:val="auto"/>
        </w:rPr>
      </w:pPr>
    </w:p>
    <w:p>
      <w:pPr>
        <w:ind w:right="680" w:firstLine="391"/>
        <w:spacing w:after="0" w:line="253" w:lineRule="auto"/>
        <w:rPr>
          <w:sz w:val="20"/>
          <w:szCs w:val="20"/>
          <w:color w:val="auto"/>
        </w:rPr>
      </w:pPr>
      <w:r>
        <w:rPr>
          <w:rFonts w:ascii="Arial" w:cs="Arial" w:eastAsia="Arial" w:hAnsi="Arial"/>
          <w:sz w:val="16"/>
          <w:szCs w:val="16"/>
          <w:color w:val="auto"/>
        </w:rPr>
        <w:t>The information required by Item 11 will be included in the Proxy Statement to be filed relating to Boston Properties, Inc.’s 2023 Annual Meeting of Stockholders and is incorporated herein by reference.</w:t>
      </w:r>
    </w:p>
    <w:p>
      <w:pPr>
        <w:spacing w:after="0" w:line="196" w:lineRule="exact"/>
        <w:rPr>
          <w:sz w:val="20"/>
          <w:szCs w:val="20"/>
          <w:color w:val="auto"/>
        </w:rPr>
      </w:pPr>
    </w:p>
    <w:p>
      <w:pPr>
        <w:jc w:val="right"/>
        <w:ind w:right="3080"/>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08" w:lineRule="exact"/>
        <w:rPr>
          <w:sz w:val="20"/>
          <w:szCs w:val="20"/>
          <w:color w:val="auto"/>
        </w:rPr>
      </w:pPr>
    </w:p>
    <w:p>
      <w:pPr>
        <w:jc w:val="right"/>
        <w:ind w:right="3140"/>
        <w:spacing w:after="0"/>
        <w:rPr>
          <w:sz w:val="20"/>
          <w:szCs w:val="20"/>
          <w:color w:val="auto"/>
        </w:rPr>
      </w:pPr>
      <w:r>
        <w:rPr>
          <w:rFonts w:ascii="Arial" w:cs="Arial" w:eastAsia="Arial" w:hAnsi="Arial"/>
          <w:sz w:val="16"/>
          <w:szCs w:val="16"/>
          <w:color w:val="auto"/>
        </w:rPr>
        <w:t>The following table summarizes Boston Properties, Inc.’s equity compensation plans as of December 31, 2022.</w:t>
      </w:r>
    </w:p>
    <w:p>
      <w:pPr>
        <w:spacing w:after="0" w:line="211"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20" w:type="dxa"/>
            <w:vAlign w:val="bottom"/>
            <w:gridSpan w:val="2"/>
          </w:tcPr>
          <w:p>
            <w:pPr>
              <w:jc w:val="center"/>
              <w:ind w:right="341"/>
              <w:spacing w:after="0"/>
              <w:rPr>
                <w:sz w:val="20"/>
                <w:szCs w:val="20"/>
                <w:color w:val="auto"/>
              </w:rPr>
            </w:pPr>
            <w:r>
              <w:rPr>
                <w:rFonts w:ascii="Arial" w:cs="Arial" w:eastAsia="Arial" w:hAnsi="Arial"/>
                <w:sz w:val="13"/>
                <w:szCs w:val="13"/>
                <w:b w:val="1"/>
                <w:bCs w:val="1"/>
                <w:color w:val="auto"/>
                <w:w w:val="96"/>
              </w:rPr>
              <w:t>Number of securities remaining</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381"/>
              <w:spacing w:after="0" w:line="143" w:lineRule="exact"/>
              <w:rPr>
                <w:sz w:val="20"/>
                <w:szCs w:val="20"/>
                <w:color w:val="auto"/>
              </w:rPr>
            </w:pPr>
            <w:r>
              <w:rPr>
                <w:rFonts w:ascii="Arial" w:cs="Arial" w:eastAsia="Arial" w:hAnsi="Arial"/>
                <w:sz w:val="13"/>
                <w:szCs w:val="13"/>
                <w:b w:val="1"/>
                <w:bCs w:val="1"/>
                <w:color w:val="auto"/>
                <w:w w:val="97"/>
              </w:rPr>
              <w:t>Number of securities to be</w:t>
            </w:r>
          </w:p>
        </w:tc>
        <w:tc>
          <w:tcPr>
            <w:tcW w:w="2140" w:type="dxa"/>
            <w:vAlign w:val="bottom"/>
            <w:gridSpan w:val="2"/>
          </w:tcPr>
          <w:p>
            <w:pPr>
              <w:jc w:val="center"/>
              <w:ind w:right="361"/>
              <w:spacing w:after="0" w:line="143" w:lineRule="exact"/>
              <w:rPr>
                <w:sz w:val="20"/>
                <w:szCs w:val="20"/>
                <w:color w:val="auto"/>
              </w:rPr>
            </w:pPr>
            <w:r>
              <w:rPr>
                <w:rFonts w:ascii="Arial" w:cs="Arial" w:eastAsia="Arial" w:hAnsi="Arial"/>
                <w:sz w:val="13"/>
                <w:szCs w:val="13"/>
                <w:b w:val="1"/>
                <w:bCs w:val="1"/>
                <w:color w:val="auto"/>
                <w:w w:val="96"/>
              </w:rPr>
              <w:t>Weighted-average exercise</w:t>
            </w:r>
          </w:p>
        </w:tc>
        <w:tc>
          <w:tcPr>
            <w:tcW w:w="2620" w:type="dxa"/>
            <w:vAlign w:val="bottom"/>
            <w:gridSpan w:val="2"/>
          </w:tcPr>
          <w:p>
            <w:pPr>
              <w:jc w:val="center"/>
              <w:ind w:right="341"/>
              <w:spacing w:after="0" w:line="143" w:lineRule="exact"/>
              <w:rPr>
                <w:sz w:val="20"/>
                <w:szCs w:val="20"/>
                <w:color w:val="auto"/>
              </w:rPr>
            </w:pPr>
            <w:r>
              <w:rPr>
                <w:rFonts w:ascii="Arial" w:cs="Arial" w:eastAsia="Arial" w:hAnsi="Arial"/>
                <w:sz w:val="13"/>
                <w:szCs w:val="13"/>
                <w:b w:val="1"/>
                <w:bCs w:val="1"/>
                <w:color w:val="auto"/>
                <w:w w:val="96"/>
              </w:rPr>
              <w:t>available for future issuance under</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381"/>
              <w:spacing w:after="0" w:line="143" w:lineRule="exact"/>
              <w:rPr>
                <w:sz w:val="20"/>
                <w:szCs w:val="20"/>
                <w:color w:val="auto"/>
              </w:rPr>
            </w:pPr>
            <w:r>
              <w:rPr>
                <w:rFonts w:ascii="Arial" w:cs="Arial" w:eastAsia="Arial" w:hAnsi="Arial"/>
                <w:sz w:val="13"/>
                <w:szCs w:val="13"/>
                <w:b w:val="1"/>
                <w:bCs w:val="1"/>
                <w:color w:val="auto"/>
                <w:w w:val="97"/>
              </w:rPr>
              <w:t>issued upon exercise of</w:t>
            </w:r>
          </w:p>
        </w:tc>
        <w:tc>
          <w:tcPr>
            <w:tcW w:w="2140" w:type="dxa"/>
            <w:vAlign w:val="bottom"/>
            <w:gridSpan w:val="2"/>
          </w:tcPr>
          <w:p>
            <w:pPr>
              <w:jc w:val="center"/>
              <w:ind w:right="361"/>
              <w:spacing w:after="0" w:line="143" w:lineRule="exact"/>
              <w:rPr>
                <w:sz w:val="20"/>
                <w:szCs w:val="20"/>
                <w:color w:val="auto"/>
              </w:rPr>
            </w:pPr>
            <w:r>
              <w:rPr>
                <w:rFonts w:ascii="Arial" w:cs="Arial" w:eastAsia="Arial" w:hAnsi="Arial"/>
                <w:sz w:val="13"/>
                <w:szCs w:val="13"/>
                <w:b w:val="1"/>
                <w:bCs w:val="1"/>
                <w:color w:val="auto"/>
                <w:w w:val="97"/>
              </w:rPr>
              <w:t>price of outstanding</w:t>
            </w:r>
          </w:p>
        </w:tc>
        <w:tc>
          <w:tcPr>
            <w:tcW w:w="2620" w:type="dxa"/>
            <w:vAlign w:val="bottom"/>
            <w:gridSpan w:val="2"/>
          </w:tcPr>
          <w:p>
            <w:pPr>
              <w:jc w:val="center"/>
              <w:ind w:right="341"/>
              <w:spacing w:after="0" w:line="143" w:lineRule="exact"/>
              <w:rPr>
                <w:sz w:val="20"/>
                <w:szCs w:val="20"/>
                <w:color w:val="auto"/>
              </w:rPr>
            </w:pPr>
            <w:r>
              <w:rPr>
                <w:rFonts w:ascii="Arial" w:cs="Arial" w:eastAsia="Arial" w:hAnsi="Arial"/>
                <w:sz w:val="13"/>
                <w:szCs w:val="13"/>
                <w:b w:val="1"/>
                <w:bCs w:val="1"/>
                <w:color w:val="auto"/>
                <w:w w:val="97"/>
              </w:rPr>
              <w:t>equity compensation plans</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center"/>
              <w:ind w:right="381"/>
              <w:spacing w:after="0"/>
              <w:rPr>
                <w:sz w:val="20"/>
                <w:szCs w:val="20"/>
                <w:color w:val="auto"/>
              </w:rPr>
            </w:pPr>
            <w:r>
              <w:rPr>
                <w:rFonts w:ascii="Arial" w:cs="Arial" w:eastAsia="Arial" w:hAnsi="Arial"/>
                <w:sz w:val="13"/>
                <w:szCs w:val="13"/>
                <w:b w:val="1"/>
                <w:bCs w:val="1"/>
                <w:color w:val="auto"/>
                <w:w w:val="96"/>
              </w:rPr>
              <w:t>outstanding options,</w:t>
            </w:r>
          </w:p>
        </w:tc>
        <w:tc>
          <w:tcPr>
            <w:tcW w:w="2140" w:type="dxa"/>
            <w:vAlign w:val="bottom"/>
            <w:gridSpan w:val="2"/>
          </w:tcPr>
          <w:p>
            <w:pPr>
              <w:jc w:val="center"/>
              <w:ind w:right="361"/>
              <w:spacing w:after="0"/>
              <w:rPr>
                <w:sz w:val="20"/>
                <w:szCs w:val="20"/>
                <w:color w:val="auto"/>
              </w:rPr>
            </w:pPr>
            <w:r>
              <w:rPr>
                <w:rFonts w:ascii="Arial" w:cs="Arial" w:eastAsia="Arial" w:hAnsi="Arial"/>
                <w:sz w:val="13"/>
                <w:szCs w:val="13"/>
                <w:b w:val="1"/>
                <w:bCs w:val="1"/>
                <w:color w:val="auto"/>
                <w:w w:val="96"/>
              </w:rPr>
              <w:t>options, warrants and</w:t>
            </w:r>
          </w:p>
        </w:tc>
        <w:tc>
          <w:tcPr>
            <w:tcW w:w="2620" w:type="dxa"/>
            <w:vAlign w:val="bottom"/>
            <w:gridSpan w:val="2"/>
          </w:tcPr>
          <w:p>
            <w:pPr>
              <w:jc w:val="center"/>
              <w:ind w:right="341"/>
              <w:spacing w:after="0"/>
              <w:rPr>
                <w:sz w:val="20"/>
                <w:szCs w:val="20"/>
                <w:color w:val="auto"/>
              </w:rPr>
            </w:pPr>
            <w:r>
              <w:rPr>
                <w:rFonts w:ascii="Arial" w:cs="Arial" w:eastAsia="Arial" w:hAnsi="Arial"/>
                <w:sz w:val="13"/>
                <w:szCs w:val="13"/>
                <w:b w:val="1"/>
                <w:bCs w:val="1"/>
                <w:color w:val="auto"/>
                <w:w w:val="96"/>
              </w:rPr>
              <w:t>(excluding securities reflected in</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381"/>
              <w:spacing w:after="0" w:line="143" w:lineRule="exact"/>
              <w:rPr>
                <w:sz w:val="20"/>
                <w:szCs w:val="20"/>
                <w:color w:val="auto"/>
              </w:rPr>
            </w:pPr>
            <w:r>
              <w:rPr>
                <w:rFonts w:ascii="Arial" w:cs="Arial" w:eastAsia="Arial" w:hAnsi="Arial"/>
                <w:sz w:val="13"/>
                <w:szCs w:val="13"/>
                <w:b w:val="1"/>
                <w:bCs w:val="1"/>
                <w:color w:val="auto"/>
                <w:w w:val="96"/>
              </w:rPr>
              <w:t>warrants and rights</w:t>
            </w:r>
          </w:p>
        </w:tc>
        <w:tc>
          <w:tcPr>
            <w:tcW w:w="2140" w:type="dxa"/>
            <w:vAlign w:val="bottom"/>
            <w:gridSpan w:val="2"/>
          </w:tcPr>
          <w:p>
            <w:pPr>
              <w:jc w:val="center"/>
              <w:ind w:right="361"/>
              <w:spacing w:after="0" w:line="143" w:lineRule="exact"/>
              <w:rPr>
                <w:sz w:val="20"/>
                <w:szCs w:val="20"/>
                <w:color w:val="auto"/>
              </w:rPr>
            </w:pPr>
            <w:r>
              <w:rPr>
                <w:rFonts w:ascii="Arial" w:cs="Arial" w:eastAsia="Arial" w:hAnsi="Arial"/>
                <w:sz w:val="13"/>
                <w:szCs w:val="13"/>
                <w:b w:val="1"/>
                <w:bCs w:val="1"/>
                <w:color w:val="auto"/>
                <w:w w:val="94"/>
              </w:rPr>
              <w:t>rights</w:t>
            </w:r>
          </w:p>
        </w:tc>
        <w:tc>
          <w:tcPr>
            <w:tcW w:w="2620" w:type="dxa"/>
            <w:vAlign w:val="bottom"/>
            <w:gridSpan w:val="2"/>
          </w:tcPr>
          <w:p>
            <w:pPr>
              <w:jc w:val="center"/>
              <w:ind w:right="341"/>
              <w:spacing w:after="0" w:line="143" w:lineRule="exact"/>
              <w:rPr>
                <w:sz w:val="20"/>
                <w:szCs w:val="20"/>
                <w:color w:val="auto"/>
              </w:rPr>
            </w:pPr>
            <w:r>
              <w:rPr>
                <w:rFonts w:ascii="Arial" w:cs="Arial" w:eastAsia="Arial" w:hAnsi="Arial"/>
                <w:sz w:val="13"/>
                <w:szCs w:val="13"/>
                <w:b w:val="1"/>
                <w:bCs w:val="1"/>
                <w:color w:val="auto"/>
                <w:w w:val="96"/>
              </w:rPr>
              <w:t>column (a))</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4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holders(1)</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4,162,889</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1"/>
              </w:rPr>
              <w:t>(2)</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$97.01</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1"/>
              </w:rPr>
              <w:t>(2)</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4,941,415</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01"/>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w:t>
            </w:r>
          </w:p>
        </w:tc>
        <w:tc>
          <w:tcPr>
            <w:tcW w:w="2140" w:type="dxa"/>
            <w:vAlign w:val="bottom"/>
            <w:gridSpan w:val="2"/>
          </w:tcPr>
          <w:p>
            <w:pPr>
              <w:jc w:val="right"/>
              <w:ind w:right="381"/>
              <w:spacing w:after="0"/>
              <w:rPr>
                <w:sz w:val="20"/>
                <w:szCs w:val="20"/>
                <w:color w:val="auto"/>
              </w:rPr>
            </w:pPr>
            <w:r>
              <w:rPr>
                <w:rFonts w:ascii="Arial" w:cs="Arial" w:eastAsia="Arial" w:hAnsi="Arial"/>
                <w:sz w:val="16"/>
                <w:szCs w:val="16"/>
                <w:color w:val="auto"/>
              </w:rPr>
              <w:t>N/A</w:t>
            </w:r>
          </w:p>
        </w:tc>
        <w:tc>
          <w:tcPr>
            <w:tcW w:w="2140" w:type="dxa"/>
            <w:vAlign w:val="bottom"/>
            <w:gridSpan w:val="2"/>
          </w:tcPr>
          <w:p>
            <w:pPr>
              <w:jc w:val="right"/>
              <w:ind w:right="381"/>
              <w:spacing w:after="0"/>
              <w:rPr>
                <w:sz w:val="20"/>
                <w:szCs w:val="20"/>
                <w:color w:val="auto"/>
              </w:rPr>
            </w:pPr>
            <w:r>
              <w:rPr>
                <w:rFonts w:ascii="Arial" w:cs="Arial" w:eastAsia="Arial" w:hAnsi="Arial"/>
                <w:sz w:val="16"/>
                <w:szCs w:val="16"/>
                <w:color w:val="auto"/>
              </w:rPr>
              <w:t>N/A</w:t>
            </w:r>
          </w:p>
        </w:tc>
        <w:tc>
          <w:tcPr>
            <w:tcW w:w="2200" w:type="dxa"/>
            <w:vAlign w:val="bottom"/>
          </w:tcPr>
          <w:p>
            <w:pPr>
              <w:jc w:val="right"/>
              <w:spacing w:after="0"/>
              <w:rPr>
                <w:sz w:val="20"/>
                <w:szCs w:val="20"/>
                <w:color w:val="auto"/>
              </w:rPr>
            </w:pPr>
            <w:r>
              <w:rPr>
                <w:rFonts w:ascii="Arial" w:cs="Arial" w:eastAsia="Arial" w:hAnsi="Arial"/>
                <w:sz w:val="16"/>
                <w:szCs w:val="16"/>
                <w:color w:val="auto"/>
              </w:rPr>
              <w:t>58,492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60"/>
              <w:spacing w:after="0"/>
              <w:rPr>
                <w:sz w:val="20"/>
                <w:szCs w:val="20"/>
                <w:color w:val="auto"/>
              </w:rPr>
            </w:pPr>
            <w:r>
              <w:rPr>
                <w:rFonts w:ascii="Arial" w:cs="Arial" w:eastAsia="Arial" w:hAnsi="Arial"/>
                <w:sz w:val="16"/>
                <w:szCs w:val="16"/>
                <w:color w:val="auto"/>
              </w:rPr>
              <w:t>holders(4)</w:t>
            </w: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4,162,889</w:t>
            </w:r>
          </w:p>
        </w:tc>
        <w:tc>
          <w:tcPr>
            <w:tcW w:w="4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$97.01</w:t>
            </w:r>
          </w:p>
        </w:tc>
        <w:tc>
          <w:tcPr>
            <w:tcW w:w="4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4,999,907</w:t>
            </w: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______________</w:t>
            </w: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60" w:hanging="423"/>
        <w:spacing w:after="0"/>
        <w:tabs>
          <w:tab w:leader="none" w:pos="5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information related to BXP’s 1997 Plan, 2012 Plan and 2021 Plan.</w:t>
      </w:r>
    </w:p>
    <w:p>
      <w:pPr>
        <w:spacing w:after="0" w:line="158" w:lineRule="exact"/>
        <w:rPr>
          <w:rFonts w:ascii="Arial" w:cs="Arial" w:eastAsia="Arial" w:hAnsi="Arial"/>
          <w:sz w:val="14"/>
          <w:szCs w:val="14"/>
          <w:color w:val="auto"/>
        </w:rPr>
      </w:pPr>
    </w:p>
    <w:p>
      <w:pPr>
        <w:ind w:left="560" w:right="40" w:hanging="423"/>
        <w:spacing w:after="0" w:line="254" w:lineRule="auto"/>
        <w:tabs>
          <w:tab w:leader="none" w:pos="55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(a) 103,641 shares of common stock issuable upon the exercise of outstanding options (all of which are vested and exercisable), (b) 1,679,175 long term incentive units (LTIP units) (1,114,705 of which are vested) that, upon the satisfaction of certain conditions, are convertible into common units, which may be presented to BPLP for redemption and acquired by BXP for shares of its common stock, (c) 1,474,500 common units issued upon conversion of LTIP units, which may be presented to BPLP for redemption and acquired by BXP for shares of its common stock, (d) 203,278 2020 MYLTIP Awards that, upon the satisfaction of certain conditions, are convertible into common units, which may be presented to BPLP for redemption and acquired by BXP for shares of its common stock, (e) 350,989 2021 MYLTIP Awards that, upon the satisfaction of certain conditions, are convertible into common units, which may be presented to BPLP for redemption and acquired by BXP for shares of its common stock, (f) 253,453 2022 MYLTIP Awards that, upon the satisfaction of certain conditions, are convertible into common units, which may be presented to BPLP for redemption and acquired by BXP for shares of its common stock and (g) 97,853 deferred stock units which were granted pursuant to elections by certain of BXP’s non-employee directors to defer all cash compensation to be paid to such directors and to receive their deferred cash compensation in shares of BXP’s common stock upon their retirement from its Board of Directors.</w:t>
      </w:r>
    </w:p>
    <w:p>
      <w:pPr>
        <w:spacing w:after="0" w:line="144" w:lineRule="exact"/>
        <w:rPr>
          <w:rFonts w:ascii="Arial" w:cs="Arial" w:eastAsia="Arial" w:hAnsi="Arial"/>
          <w:sz w:val="14"/>
          <w:szCs w:val="14"/>
          <w:color w:val="auto"/>
        </w:rPr>
      </w:pPr>
    </w:p>
    <w:p>
      <w:pPr>
        <w:ind w:left="560" w:right="320"/>
        <w:spacing w:after="0" w:line="254" w:lineRule="auto"/>
        <w:rPr>
          <w:rFonts w:ascii="Arial" w:cs="Arial" w:eastAsia="Arial" w:hAnsi="Arial"/>
          <w:sz w:val="14"/>
          <w:szCs w:val="14"/>
          <w:color w:val="auto"/>
        </w:rPr>
      </w:pPr>
      <w:r>
        <w:rPr>
          <w:rFonts w:ascii="Arial" w:cs="Arial" w:eastAsia="Arial" w:hAnsi="Arial"/>
          <w:sz w:val="14"/>
          <w:szCs w:val="14"/>
          <w:color w:val="auto"/>
        </w:rPr>
        <w:t>Does not include 74,548 shares of restricted stock, as they have been reflected in BXP’s total shares outstanding. Because there is no exercise price associated with LTIP units, common units, 2020 MYLTIP Awards, 2021 MYLTIP Awards, 2022 MYLTIP Awards or deferred stock units, such shares are not included in the weighed-average exercise price calculation.</w:t>
      </w:r>
    </w:p>
    <w:p>
      <w:pPr>
        <w:spacing w:after="0" w:line="93" w:lineRule="exact"/>
        <w:rPr>
          <w:rFonts w:ascii="Arial" w:cs="Arial" w:eastAsia="Arial" w:hAnsi="Arial"/>
          <w:sz w:val="14"/>
          <w:szCs w:val="14"/>
          <w:color w:val="auto"/>
        </w:rPr>
      </w:pPr>
    </w:p>
    <w:p>
      <w:pPr>
        <w:ind w:left="560" w:hanging="423"/>
        <w:spacing w:after="0"/>
        <w:tabs>
          <w:tab w:leader="none" w:pos="5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Represents awards available for issuance under BXP’s 2021 Plan.</w:t>
      </w:r>
    </w:p>
    <w:p>
      <w:pPr>
        <w:spacing w:after="0" w:line="147" w:lineRule="exact"/>
        <w:rPr>
          <w:rFonts w:ascii="Arial" w:cs="Arial" w:eastAsia="Arial" w:hAnsi="Arial"/>
          <w:sz w:val="14"/>
          <w:szCs w:val="14"/>
          <w:color w:val="auto"/>
        </w:rPr>
      </w:pPr>
    </w:p>
    <w:p>
      <w:pPr>
        <w:ind w:left="560" w:right="60" w:hanging="423"/>
        <w:spacing w:after="0" w:line="259" w:lineRule="auto"/>
        <w:tabs>
          <w:tab w:leader="none" w:pos="55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information related to the 1999 Non-Qualified Employee Stock Purchase Plan (ESPP). The ESPP was adopted by the Board of Directors of BXP on October 29, 1998. The ESPP has not been approved by BXP’s stockholders. The ESPP is available to all our employees that are employed on the first day of the purchase period. Under the ESPP, each eligible employee may purchase shares of our common stock at semi-annual intervals each year at a purchase price equal to 85% of the average closing prices of our common stock on the New York Stock Exchange during the last ten business days of the purchase period. Each eligible employee may contribute no more than $25,000 per year to purchase our common stock under the ESPP.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569"/>
        <w:spacing w:after="0" w:line="253" w:lineRule="auto"/>
        <w:rPr>
          <w:sz w:val="20"/>
          <w:szCs w:val="20"/>
          <w:color w:val="auto"/>
        </w:rPr>
      </w:pPr>
      <w:r>
        <w:rPr>
          <w:rFonts w:ascii="Arial" w:cs="Arial" w:eastAsia="Arial" w:hAnsi="Arial"/>
          <w:sz w:val="16"/>
          <w:szCs w:val="16"/>
          <w:color w:val="auto"/>
        </w:rPr>
        <w:t>Additional information concerning security ownership of certain beneficial owners and management required by Item 12 will be included in the Proxy Statement to be filed relating to Boston Properties, Inc.’s 2023 Annual Meeting of Stockholders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 and Director Independence.</w:t>
      </w:r>
    </w:p>
    <w:p>
      <w:pPr>
        <w:spacing w:after="0" w:line="97" w:lineRule="exact"/>
        <w:rPr>
          <w:sz w:val="20"/>
          <w:szCs w:val="20"/>
          <w:color w:val="auto"/>
        </w:rPr>
      </w:pPr>
    </w:p>
    <w:p>
      <w:pPr>
        <w:ind w:right="300" w:firstLine="391"/>
        <w:spacing w:after="0" w:line="253" w:lineRule="auto"/>
        <w:rPr>
          <w:sz w:val="20"/>
          <w:szCs w:val="20"/>
          <w:color w:val="auto"/>
        </w:rPr>
      </w:pPr>
      <w:r>
        <w:rPr>
          <w:rFonts w:ascii="Arial" w:cs="Arial" w:eastAsia="Arial" w:hAnsi="Arial"/>
          <w:sz w:val="16"/>
          <w:szCs w:val="16"/>
          <w:color w:val="auto"/>
        </w:rPr>
        <w:t>The information required by Item 13 will be included in the Proxy Statement to be filed relating to Boston Properties, Inc.’s 2023 Annual Meeting of Stockholders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Principal Accountant Fees and Services.</w:t>
      </w:r>
    </w:p>
    <w:p>
      <w:pPr>
        <w:spacing w:after="0" w:line="109" w:lineRule="exact"/>
        <w:rPr>
          <w:sz w:val="20"/>
          <w:szCs w:val="20"/>
          <w:color w:val="auto"/>
        </w:rPr>
      </w:pPr>
    </w:p>
    <w:p>
      <w:pPr>
        <w:ind w:right="300" w:firstLine="391"/>
        <w:spacing w:after="0" w:line="253" w:lineRule="auto"/>
        <w:rPr>
          <w:sz w:val="20"/>
          <w:szCs w:val="20"/>
          <w:color w:val="auto"/>
        </w:rPr>
      </w:pPr>
      <w:r>
        <w:rPr>
          <w:rFonts w:ascii="Arial" w:cs="Arial" w:eastAsia="Arial" w:hAnsi="Arial"/>
          <w:sz w:val="16"/>
          <w:szCs w:val="16"/>
          <w:color w:val="auto"/>
        </w:rPr>
        <w:t>The information required by Item 14 will be included in the Proxy Statement to be filed relating to Boston Properties, Inc.’s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880"/>
          </w:cols>
          <w:pgMar w:left="320" w:top="281" w:right="69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IV</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Exhibits and Financial Statement Schedules.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Financial Statement Schedule</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Boston Properties, Inc.</w:t>
      </w:r>
    </w:p>
    <w:p>
      <w:pPr>
        <w:ind w:left="3520"/>
        <w:spacing w:after="0" w:line="203"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ind w:right="-39"/>
        <w:spacing w:after="0" w:line="201" w:lineRule="auto"/>
        <w:rPr>
          <w:sz w:val="20"/>
          <w:szCs w:val="20"/>
          <w:color w:val="auto"/>
        </w:rPr>
      </w:pPr>
      <w:r>
        <w:rPr>
          <w:rFonts w:ascii="Arial" w:cs="Arial" w:eastAsia="Arial" w:hAnsi="Arial"/>
          <w:sz w:val="16"/>
          <w:szCs w:val="16"/>
          <w:b w:val="1"/>
          <w:bCs w:val="1"/>
          <w:color w:val="auto"/>
        </w:rPr>
        <w:t>December 31, 2022</w:t>
      </w:r>
    </w:p>
    <w:p>
      <w:pPr>
        <w:jc w:val="center"/>
        <w:ind w:right="-39"/>
        <w:spacing w:after="0"/>
        <w:rPr>
          <w:sz w:val="20"/>
          <w:szCs w:val="20"/>
          <w:color w:val="auto"/>
        </w:rPr>
      </w:pPr>
      <w:r>
        <w:rPr>
          <w:rFonts w:ascii="Arial" w:cs="Arial" w:eastAsia="Arial" w:hAnsi="Arial"/>
          <w:sz w:val="16"/>
          <w:szCs w:val="16"/>
          <w:b w:val="1"/>
          <w:bCs w:val="1"/>
          <w:color w:val="auto"/>
        </w:rPr>
        <w:t>(dollars in thousands)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92"/>
        </w:trPr>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8"/>
              </w:rPr>
              <w:t>Costs</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8"/>
                <w:szCs w:val="8"/>
                <w:b w:val="1"/>
                <w:bCs w:val="1"/>
                <w:color w:val="auto"/>
                <w:w w:val="99"/>
              </w:rPr>
              <w:t>Development</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restart"/>
          </w:tcPr>
          <w:p>
            <w:pPr>
              <w:jc w:val="right"/>
              <w:ind w:right="357"/>
              <w:spacing w:after="0"/>
              <w:rPr>
                <w:sz w:val="20"/>
                <w:szCs w:val="20"/>
                <w:color w:val="auto"/>
              </w:rPr>
            </w:pPr>
            <w:r>
              <w:rPr>
                <w:rFonts w:ascii="Arial" w:cs="Arial" w:eastAsia="Arial" w:hAnsi="Arial"/>
                <w:sz w:val="8"/>
                <w:szCs w:val="8"/>
                <w:b w:val="1"/>
                <w:bCs w:val="1"/>
                <w:color w:val="auto"/>
              </w:rPr>
              <w:t>Original</w:t>
            </w:r>
          </w:p>
        </w:tc>
        <w:tc>
          <w:tcPr>
            <w:tcW w:w="80" w:type="dxa"/>
            <w:vAlign w:val="bottom"/>
          </w:tcPr>
          <w:p>
            <w:pPr>
              <w:spacing w:after="0"/>
              <w:rPr>
                <w:sz w:val="7"/>
                <w:szCs w:val="7"/>
                <w:color w:val="auto"/>
              </w:rPr>
            </w:pPr>
          </w:p>
        </w:tc>
        <w:tc>
          <w:tcPr>
            <w:tcW w:w="54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w w:val="99"/>
              </w:rPr>
              <w:t>Capitalized</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center"/>
              <w:ind w:right="80"/>
              <w:spacing w:after="0" w:line="63" w:lineRule="exact"/>
              <w:rPr>
                <w:sz w:val="20"/>
                <w:szCs w:val="20"/>
                <w:color w:val="auto"/>
              </w:rPr>
            </w:pPr>
            <w:r>
              <w:rPr>
                <w:rFonts w:ascii="Arial" w:cs="Arial" w:eastAsia="Arial" w:hAnsi="Arial"/>
                <w:sz w:val="7"/>
                <w:szCs w:val="7"/>
                <w:b w:val="1"/>
                <w:bCs w:val="1"/>
                <w:color w:val="auto"/>
              </w:rPr>
              <w:t>Subsequent</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gridSpan w:val="2"/>
            <w:vMerge w:val="restart"/>
          </w:tcPr>
          <w:p>
            <w:pPr>
              <w:jc w:val="center"/>
              <w:ind w:right="200"/>
              <w:spacing w:after="0" w:line="63" w:lineRule="exact"/>
              <w:rPr>
                <w:sz w:val="20"/>
                <w:szCs w:val="20"/>
                <w:color w:val="auto"/>
              </w:rPr>
            </w:pPr>
            <w:r>
              <w:rPr>
                <w:rFonts w:ascii="Arial" w:cs="Arial" w:eastAsia="Arial" w:hAnsi="Arial"/>
                <w:sz w:val="7"/>
                <w:szCs w:val="7"/>
                <w:b w:val="1"/>
                <w:bCs w:val="1"/>
                <w:color w:val="auto"/>
              </w:rPr>
              <w:t>and</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restart"/>
          </w:tcPr>
          <w:p>
            <w:pPr>
              <w:jc w:val="center"/>
              <w:spacing w:after="0" w:line="63" w:lineRule="exact"/>
              <w:rPr>
                <w:sz w:val="20"/>
                <w:szCs w:val="20"/>
                <w:color w:val="auto"/>
              </w:rPr>
            </w:pPr>
            <w:r>
              <w:rPr>
                <w:rFonts w:ascii="Arial" w:cs="Arial" w:eastAsia="Arial" w:hAnsi="Arial"/>
                <w:sz w:val="7"/>
                <w:szCs w:val="7"/>
                <w:b w:val="1"/>
                <w:bCs w:val="1"/>
                <w:color w:val="auto"/>
              </w:rPr>
              <w:t>Depreciable</w:t>
            </w: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620" w:type="dxa"/>
            <w:vAlign w:val="bottom"/>
            <w:gridSpan w:val="2"/>
          </w:tcPr>
          <w:p>
            <w:pPr>
              <w:ind w:left="120"/>
              <w:spacing w:after="0" w:line="52" w:lineRule="exact"/>
              <w:rPr>
                <w:sz w:val="20"/>
                <w:szCs w:val="20"/>
                <w:color w:val="auto"/>
              </w:rPr>
            </w:pPr>
            <w:r>
              <w:rPr>
                <w:rFonts w:ascii="Arial" w:cs="Arial" w:eastAsia="Arial" w:hAnsi="Arial"/>
                <w:sz w:val="5"/>
                <w:szCs w:val="5"/>
                <w:b w:val="1"/>
                <w:bCs w:val="1"/>
                <w:color w:val="auto"/>
              </w:rPr>
              <w:t>Property</w:t>
            </w: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4"/>
                <w:szCs w:val="4"/>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80" w:type="dxa"/>
            <w:vAlign w:val="bottom"/>
          </w:tcPr>
          <w:p>
            <w:pPr>
              <w:spacing w:after="0"/>
              <w:rPr>
                <w:sz w:val="4"/>
                <w:szCs w:val="4"/>
                <w:color w:val="auto"/>
              </w:rPr>
            </w:pPr>
          </w:p>
        </w:tc>
        <w:tc>
          <w:tcPr>
            <w:tcW w:w="540" w:type="dxa"/>
            <w:vAlign w:val="bottom"/>
            <w:gridSpan w:val="2"/>
          </w:tcPr>
          <w:p>
            <w:pPr>
              <w:jc w:val="center"/>
              <w:ind w:right="60"/>
              <w:spacing w:after="0" w:line="52" w:lineRule="exact"/>
              <w:rPr>
                <w:sz w:val="20"/>
                <w:szCs w:val="20"/>
                <w:color w:val="auto"/>
              </w:rPr>
            </w:pPr>
            <w:r>
              <w:rPr>
                <w:rFonts w:ascii="Arial" w:cs="Arial" w:eastAsia="Arial" w:hAnsi="Arial"/>
                <w:sz w:val="5"/>
                <w:szCs w:val="5"/>
                <w:b w:val="1"/>
                <w:bCs w:val="1"/>
                <w:color w:val="auto"/>
              </w:rPr>
              <w:t>to</w:t>
            </w:r>
          </w:p>
        </w:tc>
        <w:tc>
          <w:tcPr>
            <w:tcW w:w="700" w:type="dxa"/>
            <w:vAlign w:val="bottom"/>
            <w:gridSpan w:val="2"/>
          </w:tcPr>
          <w:p>
            <w:pPr>
              <w:ind w:left="140"/>
              <w:spacing w:after="0" w:line="52" w:lineRule="exact"/>
              <w:rPr>
                <w:sz w:val="20"/>
                <w:szCs w:val="20"/>
                <w:color w:val="auto"/>
              </w:rPr>
            </w:pPr>
            <w:r>
              <w:rPr>
                <w:rFonts w:ascii="Arial" w:cs="Arial" w:eastAsia="Arial" w:hAnsi="Arial"/>
                <w:sz w:val="5"/>
                <w:szCs w:val="5"/>
                <w:b w:val="1"/>
                <w:bCs w:val="1"/>
                <w:color w:val="auto"/>
              </w:rPr>
              <w:t>Land and</w:t>
            </w:r>
          </w:p>
        </w:tc>
        <w:tc>
          <w:tcPr>
            <w:tcW w:w="680" w:type="dxa"/>
            <w:vAlign w:val="bottom"/>
            <w:gridSpan w:val="2"/>
          </w:tcPr>
          <w:p>
            <w:pPr>
              <w:ind w:left="60"/>
              <w:spacing w:after="0" w:line="52" w:lineRule="exact"/>
              <w:rPr>
                <w:sz w:val="20"/>
                <w:szCs w:val="20"/>
                <w:color w:val="auto"/>
              </w:rPr>
            </w:pPr>
            <w:r>
              <w:rPr>
                <w:rFonts w:ascii="Arial" w:cs="Arial" w:eastAsia="Arial" w:hAnsi="Arial"/>
                <w:sz w:val="5"/>
                <w:szCs w:val="5"/>
                <w:b w:val="1"/>
                <w:bCs w:val="1"/>
                <w:color w:val="auto"/>
              </w:rPr>
              <w:t>Building and</w:t>
            </w:r>
          </w:p>
        </w:tc>
        <w:tc>
          <w:tcPr>
            <w:tcW w:w="640" w:type="dxa"/>
            <w:vAlign w:val="bottom"/>
            <w:gridSpan w:val="3"/>
          </w:tcPr>
          <w:p>
            <w:pPr>
              <w:ind w:left="20"/>
              <w:spacing w:after="0" w:line="52" w:lineRule="exact"/>
              <w:rPr>
                <w:sz w:val="20"/>
                <w:szCs w:val="20"/>
                <w:color w:val="auto"/>
              </w:rPr>
            </w:pPr>
            <w:r>
              <w:rPr>
                <w:rFonts w:ascii="Arial" w:cs="Arial" w:eastAsia="Arial" w:hAnsi="Arial"/>
                <w:sz w:val="5"/>
                <w:szCs w:val="5"/>
                <w:b w:val="1"/>
                <w:bCs w:val="1"/>
                <w:color w:val="auto"/>
              </w:rPr>
              <w:t>Land Held for</w:t>
            </w:r>
          </w:p>
        </w:tc>
        <w:tc>
          <w:tcPr>
            <w:tcW w:w="640" w:type="dxa"/>
            <w:vAlign w:val="bottom"/>
            <w:gridSpan w:val="3"/>
          </w:tcPr>
          <w:p>
            <w:pPr>
              <w:jc w:val="center"/>
              <w:ind w:right="80"/>
              <w:spacing w:after="0" w:line="52" w:lineRule="exact"/>
              <w:rPr>
                <w:sz w:val="20"/>
                <w:szCs w:val="20"/>
                <w:color w:val="auto"/>
              </w:rPr>
            </w:pPr>
            <w:r>
              <w:rPr>
                <w:rFonts w:ascii="Arial" w:cs="Arial" w:eastAsia="Arial" w:hAnsi="Arial"/>
                <w:sz w:val="5"/>
                <w:szCs w:val="5"/>
                <w:b w:val="1"/>
                <w:bCs w:val="1"/>
                <w:color w:val="auto"/>
              </w:rPr>
              <w:t>Construction</w:t>
            </w: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tcPr>
          <w:p>
            <w:pPr>
              <w:ind w:left="40"/>
              <w:spacing w:after="0" w:line="52" w:lineRule="exact"/>
              <w:rPr>
                <w:sz w:val="20"/>
                <w:szCs w:val="20"/>
                <w:color w:val="auto"/>
              </w:rPr>
            </w:pPr>
            <w:r>
              <w:rPr>
                <w:rFonts w:ascii="Arial" w:cs="Arial" w:eastAsia="Arial" w:hAnsi="Arial"/>
                <w:sz w:val="5"/>
                <w:szCs w:val="5"/>
                <w:b w:val="1"/>
                <w:bCs w:val="1"/>
                <w:color w:val="auto"/>
              </w:rPr>
              <w:t>Accumulated</w:t>
            </w:r>
          </w:p>
        </w:tc>
        <w:tc>
          <w:tcPr>
            <w:tcW w:w="980" w:type="dxa"/>
            <w:vAlign w:val="bottom"/>
            <w:gridSpan w:val="2"/>
          </w:tcPr>
          <w:p>
            <w:pPr>
              <w:ind w:left="320"/>
              <w:spacing w:after="0" w:line="52" w:lineRule="exact"/>
              <w:rPr>
                <w:sz w:val="20"/>
                <w:szCs w:val="20"/>
                <w:color w:val="auto"/>
              </w:rPr>
            </w:pPr>
            <w:r>
              <w:rPr>
                <w:rFonts w:ascii="Arial" w:cs="Arial" w:eastAsia="Arial" w:hAnsi="Arial"/>
                <w:sz w:val="5"/>
                <w:szCs w:val="5"/>
                <w:b w:val="1"/>
                <w:bCs w:val="1"/>
                <w:color w:val="auto"/>
              </w:rPr>
              <w:t>Year(s)</w:t>
            </w:r>
          </w:p>
        </w:tc>
        <w:tc>
          <w:tcPr>
            <w:tcW w:w="1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jc w:val="center"/>
              <w:spacing w:after="0" w:line="52" w:lineRule="exact"/>
              <w:rPr>
                <w:sz w:val="20"/>
                <w:szCs w:val="20"/>
                <w:color w:val="auto"/>
              </w:rPr>
            </w:pPr>
            <w:r>
              <w:rPr>
                <w:rFonts w:ascii="Arial" w:cs="Arial" w:eastAsia="Arial" w:hAnsi="Arial"/>
                <w:sz w:val="5"/>
                <w:szCs w:val="5"/>
                <w:b w:val="1"/>
                <w:bCs w:val="1"/>
                <w:color w:val="auto"/>
              </w:rPr>
              <w:t>Lives</w:t>
            </w:r>
          </w:p>
        </w:tc>
        <w:tc>
          <w:tcPr>
            <w:tcW w:w="0" w:type="dxa"/>
            <w:vAlign w:val="bottom"/>
          </w:tcPr>
          <w:p>
            <w:pPr>
              <w:spacing w:after="0"/>
              <w:rPr>
                <w:sz w:val="1"/>
                <w:szCs w:val="1"/>
                <w:color w:val="auto"/>
              </w:rPr>
            </w:pPr>
          </w:p>
        </w:tc>
      </w:tr>
      <w:tr>
        <w:trPr>
          <w:trHeight w:val="114"/>
        </w:trPr>
        <w:tc>
          <w:tcPr>
            <w:tcW w:w="560" w:type="dxa"/>
            <w:vAlign w:val="bottom"/>
            <w:tcBorders>
              <w:bottom w:val="single" w:sz="8" w:color="auto"/>
            </w:tcBorders>
          </w:tcPr>
          <w:p>
            <w:pPr>
              <w:ind w:left="160"/>
              <w:spacing w:after="0"/>
              <w:rPr>
                <w:sz w:val="20"/>
                <w:szCs w:val="20"/>
                <w:color w:val="auto"/>
              </w:rPr>
            </w:pPr>
            <w:r>
              <w:rPr>
                <w:rFonts w:ascii="Arial" w:cs="Arial" w:eastAsia="Arial" w:hAnsi="Arial"/>
                <w:sz w:val="8"/>
                <w:szCs w:val="8"/>
                <w:b w:val="1"/>
                <w:bCs w:val="1"/>
                <w:color w:val="auto"/>
              </w:rPr>
              <w:t>Name</w:t>
            </w:r>
          </w:p>
        </w:tc>
        <w:tc>
          <w:tcPr>
            <w:tcW w:w="6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Type</w:t>
            </w:r>
          </w:p>
        </w:tc>
        <w:tc>
          <w:tcPr>
            <w:tcW w:w="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8"/>
                <w:szCs w:val="8"/>
                <w:b w:val="1"/>
                <w:bCs w:val="1"/>
                <w:color w:val="auto"/>
              </w:rPr>
              <w:t>Location</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7"/>
              </w:rPr>
              <w:t>Encumbrances</w:t>
            </w:r>
          </w:p>
        </w:tc>
        <w:tc>
          <w:tcPr>
            <w:tcW w:w="8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Acquisition</w:t>
            </w:r>
          </w:p>
        </w:tc>
        <w:tc>
          <w:tcPr>
            <w:tcW w:w="6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Improvements</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8"/>
              </w:rPr>
              <w:t>Improvements</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w w:val="99"/>
              </w:rPr>
              <w:t>Development</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8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8"/>
                <w:szCs w:val="8"/>
                <w:b w:val="1"/>
                <w:bCs w:val="1"/>
                <w:color w:val="auto"/>
              </w:rPr>
              <w:t>Total</w:t>
            </w:r>
          </w:p>
        </w:tc>
        <w:tc>
          <w:tcPr>
            <w:tcW w:w="6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Depreciation</w:t>
            </w:r>
          </w:p>
        </w:tc>
        <w:tc>
          <w:tcPr>
            <w:tcW w:w="6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8"/>
                <w:szCs w:val="8"/>
                <w:b w:val="1"/>
                <w:bCs w:val="1"/>
                <w:color w:val="auto"/>
              </w:rPr>
              <w:t>Built/Renovated</w:t>
            </w:r>
          </w:p>
        </w:tc>
        <w:tc>
          <w:tcPr>
            <w:tcW w:w="60" w:type="dxa"/>
            <w:vAlign w:val="bottom"/>
            <w:tcBorders>
              <w:bottom w:val="single" w:sz="8" w:color="CCEEFF"/>
            </w:tcBorders>
          </w:tcPr>
          <w:p>
            <w:pPr>
              <w:spacing w:after="0"/>
              <w:rPr>
                <w:sz w:val="9"/>
                <w:szCs w:val="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Year(s) Acquired</w:t>
            </w:r>
          </w:p>
        </w:tc>
        <w:tc>
          <w:tcPr>
            <w:tcW w:w="6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(Years)</w:t>
            </w:r>
          </w:p>
        </w:tc>
        <w:tc>
          <w:tcPr>
            <w:tcW w:w="0" w:type="dxa"/>
            <w:vAlign w:val="bottom"/>
          </w:tcPr>
          <w:p>
            <w:pPr>
              <w:spacing w:after="0"/>
              <w:rPr>
                <w:sz w:val="1"/>
                <w:szCs w:val="1"/>
                <w:color w:val="auto"/>
              </w:rPr>
            </w:pPr>
          </w:p>
        </w:tc>
      </w:tr>
      <w:tr>
        <w:trPr>
          <w:trHeight w:val="108"/>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767 Fifth</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Avenue (the</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General</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Motors</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Building)</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New York, NY</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   2,284,510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$ 1,796,252</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$ 1,532,654</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  325,762</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  1,796,252</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   1,858,416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ind w:right="43"/>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w w:val="92"/>
              </w:rPr>
              <w:t>$ 3,654,668</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   457,344</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1968/2019</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Prudential</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w w:val="97"/>
              </w:rPr>
              <w:t>1965/1993/2002/2016-</w:t>
            </w: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Boston, MA</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92,077</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948,357</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718,028</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115,639</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1,510,834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231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131,758</w:t>
            </w:r>
          </w:p>
        </w:tc>
        <w:tc>
          <w:tcPr>
            <w:tcW w:w="8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1,758,462</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721,498</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2017</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1998/1999/2000</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Embarcadero</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5"/>
              </w:rPr>
              <w:t>San Francisco, CA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179,697</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847,410</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499,451</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195,986</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1,330,572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1,526,558</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736,748</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1970/1989</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1998-1999</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399 Park</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New York, NY</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339,200</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700,358</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393,821</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354,107</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1,079,272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1,433,379</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445,239</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1961/2018</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2002</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560" w:type="dxa"/>
            <w:vAlign w:val="bottom"/>
            <w:shd w:val="clear" w:color="auto" w:fill="CCEEFF"/>
          </w:tcPr>
          <w:p>
            <w:pPr>
              <w:spacing w:after="0"/>
              <w:rPr>
                <w:sz w:val="20"/>
                <w:szCs w:val="20"/>
                <w:color w:val="auto"/>
              </w:rPr>
            </w:pPr>
            <w:r>
              <w:rPr>
                <w:rFonts w:ascii="Arial" w:cs="Arial" w:eastAsia="Arial" w:hAnsi="Arial"/>
                <w:sz w:val="9"/>
                <w:szCs w:val="9"/>
                <w:color w:val="auto"/>
              </w:rPr>
              <w:t>601</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Lexington</w:t>
            </w:r>
          </w:p>
        </w:tc>
        <w:tc>
          <w:tcPr>
            <w:tcW w:w="3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New York, NY</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987,858</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241,600</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494,782</w:t>
            </w:r>
          </w:p>
        </w:tc>
        <w:tc>
          <w:tcPr>
            <w:tcW w:w="56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9"/>
                <w:szCs w:val="9"/>
                <w:color w:val="auto"/>
              </w:rPr>
              <w:t>515,644</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289,639</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962,387</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1,252,026</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348,892</w:t>
            </w:r>
          </w:p>
        </w:tc>
        <w:tc>
          <w:tcPr>
            <w:tcW w:w="6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1977/1997/2021</w:t>
            </w:r>
          </w:p>
        </w:tc>
        <w:tc>
          <w:tcPr>
            <w:tcW w:w="6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Salesforce</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Tower</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w w:val="95"/>
              </w:rPr>
              <w:t>San Francisco, CA</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200,349</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946,205</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7,462</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200,349</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953,667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1,154,016</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129,281</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2018</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2013</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560" w:type="dxa"/>
            <w:vAlign w:val="bottom"/>
            <w:shd w:val="clear" w:color="auto" w:fill="CCEEFF"/>
          </w:tcPr>
          <w:p>
            <w:pPr>
              <w:spacing w:after="0"/>
              <w:rPr>
                <w:sz w:val="20"/>
                <w:szCs w:val="20"/>
                <w:color w:val="auto"/>
              </w:rPr>
            </w:pPr>
            <w:r>
              <w:rPr>
                <w:rFonts w:ascii="Arial" w:cs="Arial" w:eastAsia="Arial" w:hAnsi="Arial"/>
                <w:sz w:val="9"/>
                <w:szCs w:val="9"/>
                <w:color w:val="auto"/>
              </w:rPr>
              <w:t>200</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Clarendon</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Street and</w:t>
            </w:r>
          </w:p>
        </w:tc>
        <w:tc>
          <w:tcPr>
            <w:tcW w:w="3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Boston, MA</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219,543</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667,884</w:t>
            </w:r>
          </w:p>
        </w:tc>
        <w:tc>
          <w:tcPr>
            <w:tcW w:w="56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9"/>
                <w:szCs w:val="9"/>
                <w:color w:val="auto"/>
              </w:rPr>
              <w:t>235,129</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250,512</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872,044</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1,122,556</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310,318</w:t>
            </w:r>
          </w:p>
        </w:tc>
        <w:tc>
          <w:tcPr>
            <w:tcW w:w="6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1976</w:t>
            </w:r>
          </w:p>
        </w:tc>
        <w:tc>
          <w:tcPr>
            <w:tcW w:w="6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Garage</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250 West</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55th Street</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New York, NY</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285,263</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603,167</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51,800</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285,263</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654,967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940,230</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179,143</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2014</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100 Federal</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Boston, MA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131,067</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435,954</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119,341</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131,067</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555,295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686,362</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157,368</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1971-1975/2017</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Madison</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Centre</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Seattle, WA</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104,641</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564,336</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2,879</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104,641</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567,215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671,856</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13,611</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2017</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2022</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Times</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Square</w:t>
            </w:r>
          </w:p>
        </w:tc>
        <w:tc>
          <w:tcPr>
            <w:tcW w:w="3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New York, NY</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165,413</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380,438</w:t>
            </w:r>
          </w:p>
        </w:tc>
        <w:tc>
          <w:tcPr>
            <w:tcW w:w="56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9"/>
                <w:szCs w:val="9"/>
                <w:color w:val="auto"/>
              </w:rPr>
              <w:t>121,437</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169,193</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498,095</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667,288</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241,474</w:t>
            </w:r>
          </w:p>
        </w:tc>
        <w:tc>
          <w:tcPr>
            <w:tcW w:w="6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2004</w:t>
            </w:r>
          </w:p>
        </w:tc>
        <w:tc>
          <w:tcPr>
            <w:tcW w:w="6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Tower</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Carnegie</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Princeton, NJ</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142,666</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316,856</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168,261</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94,243</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476,990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55,919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631</w:t>
            </w:r>
          </w:p>
        </w:tc>
        <w:tc>
          <w:tcPr>
            <w:tcW w:w="8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627,783</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252,390</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1983-2016</w:t>
            </w:r>
          </w:p>
        </w:tc>
        <w:tc>
          <w:tcPr>
            <w:tcW w:w="60" w:type="dxa"/>
            <w:vAlign w:val="bottom"/>
          </w:tcPr>
          <w:p>
            <w:pPr>
              <w:spacing w:after="0"/>
              <w:rPr>
                <w:sz w:val="9"/>
                <w:szCs w:val="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9"/>
                <w:szCs w:val="9"/>
                <w:color w:val="auto"/>
                <w:w w:val="96"/>
              </w:rPr>
              <w:t>1998/1999/2000/2007/2014/2017/2019</w:t>
            </w: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560" w:type="dxa"/>
            <w:vAlign w:val="bottom"/>
            <w:shd w:val="clear" w:color="auto" w:fill="CCEEFF"/>
          </w:tcPr>
          <w:p>
            <w:pPr>
              <w:spacing w:after="0"/>
              <w:rPr>
                <w:sz w:val="20"/>
                <w:szCs w:val="20"/>
                <w:color w:val="auto"/>
              </w:rPr>
            </w:pPr>
            <w:r>
              <w:rPr>
                <w:rFonts w:ascii="Arial" w:cs="Arial" w:eastAsia="Arial" w:hAnsi="Arial"/>
                <w:sz w:val="9"/>
                <w:szCs w:val="9"/>
                <w:color w:val="auto"/>
              </w:rPr>
              <w:t>125</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Broadway</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126,364</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433,662</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58</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126,364</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433,720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560,084</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4,503</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Atlantic</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Wharf</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Boston, MA</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63,988</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454,537</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24,158</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63,988</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478,695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542,683</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171,876</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2011</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 Next</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2,901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525,277</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2,901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525,277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528,178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15,293</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560" w:type="dxa"/>
            <w:vAlign w:val="bottom"/>
          </w:tcPr>
          <w:p>
            <w:pPr>
              <w:spacing w:after="0"/>
              <w:rPr>
                <w:sz w:val="20"/>
                <w:szCs w:val="20"/>
                <w:color w:val="auto"/>
              </w:rPr>
            </w:pPr>
            <w:r>
              <w:rPr>
                <w:rFonts w:ascii="Arial" w:cs="Arial" w:eastAsia="Arial" w:hAnsi="Arial"/>
                <w:sz w:val="9"/>
                <w:szCs w:val="9"/>
                <w:color w:val="auto"/>
              </w:rPr>
              <w:t>599</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Lexington</w:t>
            </w:r>
          </w:p>
        </w:tc>
        <w:tc>
          <w:tcPr>
            <w:tcW w:w="340" w:type="dxa"/>
            <w:vAlign w:val="bottom"/>
            <w:gridSpan w:val="2"/>
            <w:vMerge w:val="restart"/>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New York, NY</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81,040</w:t>
            </w: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100,507</w:t>
            </w:r>
          </w:p>
        </w:tc>
        <w:tc>
          <w:tcPr>
            <w:tcW w:w="560" w:type="dxa"/>
            <w:vAlign w:val="bottom"/>
            <w:gridSpan w:val="2"/>
            <w:vMerge w:val="restart"/>
          </w:tcPr>
          <w:p>
            <w:pPr>
              <w:jc w:val="right"/>
              <w:ind w:right="2"/>
              <w:spacing w:after="0"/>
              <w:rPr>
                <w:sz w:val="20"/>
                <w:szCs w:val="20"/>
                <w:color w:val="auto"/>
              </w:rPr>
            </w:pPr>
            <w:r>
              <w:rPr>
                <w:rFonts w:ascii="Arial" w:cs="Arial" w:eastAsia="Arial" w:hAnsi="Arial"/>
                <w:sz w:val="9"/>
                <w:szCs w:val="9"/>
                <w:color w:val="auto"/>
              </w:rPr>
              <w:t>245,609</w:t>
            </w:r>
          </w:p>
        </w:tc>
        <w:tc>
          <w:tcPr>
            <w:tcW w:w="60" w:type="dxa"/>
            <w:vAlign w:val="bottom"/>
          </w:tcPr>
          <w:p>
            <w:pPr>
              <w:spacing w:after="0"/>
              <w:rPr>
                <w:sz w:val="7"/>
                <w:szCs w:val="7"/>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9"/>
                <w:szCs w:val="9"/>
                <w:color w:val="auto"/>
              </w:rPr>
              <w:t>87,852</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339,304</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427,156</w:t>
            </w:r>
          </w:p>
        </w:tc>
        <w:tc>
          <w:tcPr>
            <w:tcW w:w="60" w:type="dxa"/>
            <w:vAlign w:val="bottom"/>
          </w:tcPr>
          <w:p>
            <w:pPr>
              <w:spacing w:after="0"/>
              <w:rPr>
                <w:sz w:val="7"/>
                <w:szCs w:val="7"/>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182,121</w:t>
            </w:r>
          </w:p>
        </w:tc>
        <w:tc>
          <w:tcPr>
            <w:tcW w:w="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9"/>
                <w:szCs w:val="9"/>
                <w:color w:val="auto"/>
              </w:rPr>
              <w:t>1986</w:t>
            </w:r>
          </w:p>
        </w:tc>
        <w:tc>
          <w:tcPr>
            <w:tcW w:w="6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Fountain</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Square</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56,853</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306,298</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39,288</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56,853</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345,586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402,439</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104,864</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1986-1990</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510 Madison</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New York, NY</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103,000</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253,665</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31,682</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103,000</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285,347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388,347</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95,520</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2010</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325 Main</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21,596</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312,492</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21,596</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312,492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334,088</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4,308</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680 Folsom</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w w:val="95"/>
              </w:rPr>
              <w:t>San Francisco, CA</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72,545</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219,766</w:t>
            </w:r>
          </w:p>
        </w:tc>
        <w:tc>
          <w:tcPr>
            <w:tcW w:w="560" w:type="dxa"/>
            <w:vAlign w:val="bottom"/>
            <w:gridSpan w:val="2"/>
          </w:tcPr>
          <w:p>
            <w:pPr>
              <w:jc w:val="right"/>
              <w:ind w:right="2"/>
              <w:spacing w:after="0"/>
              <w:rPr>
                <w:sz w:val="20"/>
                <w:szCs w:val="20"/>
                <w:color w:val="auto"/>
              </w:rPr>
            </w:pPr>
            <w:r>
              <w:rPr>
                <w:rFonts w:ascii="Arial" w:cs="Arial" w:eastAsia="Arial" w:hAnsi="Arial"/>
                <w:sz w:val="9"/>
                <w:szCs w:val="9"/>
                <w:color w:val="auto"/>
              </w:rPr>
              <w:t>8,026</w:t>
            </w:r>
          </w:p>
        </w:tc>
        <w:tc>
          <w:tcPr>
            <w:tcW w:w="6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72,545</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227,792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300,337</w:t>
            </w:r>
          </w:p>
        </w:tc>
        <w:tc>
          <w:tcPr>
            <w:tcW w:w="6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72,414</w:t>
            </w:r>
          </w:p>
        </w:tc>
        <w:tc>
          <w:tcPr>
            <w:tcW w:w="6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2014</w:t>
            </w:r>
          </w:p>
        </w:tc>
        <w:tc>
          <w:tcPr>
            <w:tcW w:w="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560" w:type="dxa"/>
            <w:vAlign w:val="bottom"/>
            <w:shd w:val="clear" w:color="auto" w:fill="CCEEFF"/>
          </w:tcPr>
          <w:p>
            <w:pPr>
              <w:spacing w:after="0"/>
              <w:rPr>
                <w:sz w:val="20"/>
                <w:szCs w:val="20"/>
                <w:color w:val="auto"/>
              </w:rPr>
            </w:pPr>
            <w:r>
              <w:rPr>
                <w:rFonts w:ascii="Arial" w:cs="Arial" w:eastAsia="Arial" w:hAnsi="Arial"/>
                <w:sz w:val="9"/>
                <w:szCs w:val="9"/>
                <w:color w:val="auto"/>
              </w:rPr>
              <w:t>145</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Broadway</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273,013</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26,184</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23,367</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275,951</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299,318</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26,881</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560" w:type="dxa"/>
            <w:vAlign w:val="bottom"/>
          </w:tcPr>
          <w:p>
            <w:pPr>
              <w:spacing w:after="0"/>
              <w:rPr>
                <w:sz w:val="20"/>
                <w:szCs w:val="20"/>
                <w:color w:val="auto"/>
              </w:rPr>
            </w:pPr>
            <w:r>
              <w:rPr>
                <w:rFonts w:ascii="Arial" w:cs="Arial" w:eastAsia="Arial" w:hAnsi="Arial"/>
                <w:sz w:val="9"/>
                <w:szCs w:val="9"/>
                <w:color w:val="auto"/>
              </w:rPr>
              <w:t>2200</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Pennsylvania</w:t>
            </w:r>
          </w:p>
        </w:tc>
        <w:tc>
          <w:tcPr>
            <w:tcW w:w="340" w:type="dxa"/>
            <w:vAlign w:val="bottom"/>
            <w:gridSpan w:val="2"/>
            <w:vMerge w:val="restart"/>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Washington, DC</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183,541</w:t>
            </w:r>
          </w:p>
        </w:tc>
        <w:tc>
          <w:tcPr>
            <w:tcW w:w="560" w:type="dxa"/>
            <w:vAlign w:val="bottom"/>
            <w:gridSpan w:val="2"/>
            <w:vMerge w:val="restart"/>
          </w:tcPr>
          <w:p>
            <w:pPr>
              <w:jc w:val="right"/>
              <w:ind w:right="2"/>
              <w:spacing w:after="0"/>
              <w:rPr>
                <w:sz w:val="20"/>
                <w:szCs w:val="20"/>
                <w:color w:val="auto"/>
              </w:rPr>
            </w:pPr>
            <w:r>
              <w:rPr>
                <w:rFonts w:ascii="Arial" w:cs="Arial" w:eastAsia="Arial" w:hAnsi="Arial"/>
                <w:sz w:val="9"/>
                <w:szCs w:val="9"/>
                <w:color w:val="auto"/>
              </w:rPr>
              <w:t>113,108</w:t>
            </w:r>
          </w:p>
        </w:tc>
        <w:tc>
          <w:tcPr>
            <w:tcW w:w="60" w:type="dxa"/>
            <w:vAlign w:val="bottom"/>
          </w:tcPr>
          <w:p>
            <w:pPr>
              <w:spacing w:after="0"/>
              <w:rPr>
                <w:sz w:val="7"/>
                <w:szCs w:val="7"/>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9"/>
                <w:szCs w:val="9"/>
                <w:color w:val="auto"/>
              </w:rPr>
              <w:t>104,329</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192,320</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296,649</w:t>
            </w:r>
          </w:p>
        </w:tc>
        <w:tc>
          <w:tcPr>
            <w:tcW w:w="60" w:type="dxa"/>
            <w:vAlign w:val="bottom"/>
          </w:tcPr>
          <w:p>
            <w:pPr>
              <w:spacing w:after="0"/>
              <w:rPr>
                <w:sz w:val="7"/>
                <w:szCs w:val="7"/>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71,410</w:t>
            </w:r>
          </w:p>
        </w:tc>
        <w:tc>
          <w:tcPr>
            <w:tcW w:w="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9"/>
                <w:szCs w:val="9"/>
                <w:color w:val="auto"/>
              </w:rPr>
              <w:t>2011</w:t>
            </w:r>
          </w:p>
        </w:tc>
        <w:tc>
          <w:tcPr>
            <w:tcW w:w="6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Arial" w:cs="Arial" w:eastAsia="Arial" w:hAnsi="Arial"/>
                <w:sz w:val="9"/>
                <w:szCs w:val="9"/>
                <w:color w:val="auto"/>
              </w:rPr>
              <w:t>2008</w:t>
            </w:r>
          </w:p>
        </w:tc>
        <w:tc>
          <w:tcPr>
            <w:tcW w:w="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South of</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Market and</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Democracy</w:t>
            </w:r>
          </w:p>
        </w:tc>
        <w:tc>
          <w:tcPr>
            <w:tcW w:w="3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13,603</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237,479</w:t>
            </w:r>
          </w:p>
        </w:tc>
        <w:tc>
          <w:tcPr>
            <w:tcW w:w="56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9"/>
                <w:szCs w:val="9"/>
                <w:color w:val="auto"/>
              </w:rPr>
              <w:t>28,991</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13,687</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266,386</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280,073</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98,665</w:t>
            </w:r>
          </w:p>
        </w:tc>
        <w:tc>
          <w:tcPr>
            <w:tcW w:w="6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2008-2009</w:t>
            </w:r>
          </w:p>
        </w:tc>
        <w:tc>
          <w:tcPr>
            <w:tcW w:w="60" w:type="dxa"/>
            <w:vAlign w:val="bottom"/>
            <w:shd w:val="clear" w:color="auto" w:fill="CCEEFF"/>
          </w:tcPr>
          <w:p>
            <w:pPr>
              <w:spacing w:after="0"/>
              <w:rPr>
                <w:sz w:val="7"/>
                <w:szCs w:val="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Tower</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Bay Colony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Corporate</w:t>
            </w:r>
          </w:p>
        </w:tc>
        <w:tc>
          <w:tcPr>
            <w:tcW w:w="340" w:type="dxa"/>
            <w:vAlign w:val="bottom"/>
            <w:gridSpan w:val="2"/>
            <w:vMerge w:val="restart"/>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Waltham, MA</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18,789</w:t>
            </w: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148,451</w:t>
            </w:r>
          </w:p>
        </w:tc>
        <w:tc>
          <w:tcPr>
            <w:tcW w:w="560" w:type="dxa"/>
            <w:vAlign w:val="bottom"/>
            <w:gridSpan w:val="2"/>
            <w:vMerge w:val="restart"/>
          </w:tcPr>
          <w:p>
            <w:pPr>
              <w:jc w:val="right"/>
              <w:ind w:right="2"/>
              <w:spacing w:after="0"/>
              <w:rPr>
                <w:sz w:val="20"/>
                <w:szCs w:val="20"/>
                <w:color w:val="auto"/>
              </w:rPr>
            </w:pPr>
            <w:r>
              <w:rPr>
                <w:rFonts w:ascii="Arial" w:cs="Arial" w:eastAsia="Arial" w:hAnsi="Arial"/>
                <w:sz w:val="9"/>
                <w:szCs w:val="9"/>
                <w:color w:val="auto"/>
              </w:rPr>
              <w:t>87,804</w:t>
            </w:r>
          </w:p>
        </w:tc>
        <w:tc>
          <w:tcPr>
            <w:tcW w:w="60" w:type="dxa"/>
            <w:vAlign w:val="bottom"/>
          </w:tcPr>
          <w:p>
            <w:pPr>
              <w:spacing w:after="0"/>
              <w:rPr>
                <w:sz w:val="7"/>
                <w:szCs w:val="7"/>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9"/>
                <w:szCs w:val="9"/>
                <w:color w:val="auto"/>
              </w:rPr>
              <w:t>18,789</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231,828</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4,427</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255,044</w:t>
            </w:r>
          </w:p>
        </w:tc>
        <w:tc>
          <w:tcPr>
            <w:tcW w:w="60" w:type="dxa"/>
            <w:vAlign w:val="bottom"/>
          </w:tcPr>
          <w:p>
            <w:pPr>
              <w:spacing w:after="0"/>
              <w:rPr>
                <w:sz w:val="7"/>
                <w:szCs w:val="7"/>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105,172</w:t>
            </w:r>
          </w:p>
        </w:tc>
        <w:tc>
          <w:tcPr>
            <w:tcW w:w="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9"/>
                <w:szCs w:val="9"/>
                <w:color w:val="auto"/>
              </w:rPr>
              <w:t>1985-1989</w:t>
            </w:r>
          </w:p>
        </w:tc>
        <w:tc>
          <w:tcPr>
            <w:tcW w:w="6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Arial" w:cs="Arial" w:eastAsia="Arial" w:hAnsi="Arial"/>
                <w:sz w:val="9"/>
                <w:szCs w:val="9"/>
                <w:color w:val="auto"/>
              </w:rPr>
              <w:t>2011</w:t>
            </w:r>
          </w:p>
        </w:tc>
        <w:tc>
          <w:tcPr>
            <w:tcW w:w="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535 Mission</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5"/>
              </w:rPr>
              <w:t>San Francisco, CA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40,933</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148,378</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3,852</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40,934</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152,229</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193,163</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42,776</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1"/>
        </w:trPr>
        <w:tc>
          <w:tcPr>
            <w:tcW w:w="620" w:type="dxa"/>
            <w:vAlign w:val="bottom"/>
            <w:gridSpan w:val="2"/>
          </w:tcPr>
          <w:p>
            <w:pPr>
              <w:spacing w:after="0"/>
              <w:rPr>
                <w:sz w:val="20"/>
                <w:szCs w:val="20"/>
                <w:color w:val="auto"/>
              </w:rPr>
            </w:pPr>
            <w:r>
              <w:rPr>
                <w:rFonts w:ascii="Arial" w:cs="Arial" w:eastAsia="Arial" w:hAnsi="Arial"/>
                <w:sz w:val="9"/>
                <w:szCs w:val="9"/>
                <w:color w:val="auto"/>
              </w:rPr>
              <w:t>Mountain</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View</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Mountain View,</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Research</w:t>
            </w:r>
          </w:p>
        </w:tc>
        <w:tc>
          <w:tcPr>
            <w:tcW w:w="340" w:type="dxa"/>
            <w:vAlign w:val="bottom"/>
            <w:gridSpan w:val="2"/>
            <w:vMerge w:val="restart"/>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vMerge w:val="continue"/>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95,066</w:t>
            </w: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68,373</w:t>
            </w:r>
          </w:p>
        </w:tc>
        <w:tc>
          <w:tcPr>
            <w:tcW w:w="560" w:type="dxa"/>
            <w:vAlign w:val="bottom"/>
            <w:gridSpan w:val="2"/>
            <w:vMerge w:val="restart"/>
          </w:tcPr>
          <w:p>
            <w:pPr>
              <w:jc w:val="right"/>
              <w:ind w:right="2"/>
              <w:spacing w:after="0"/>
              <w:rPr>
                <w:sz w:val="20"/>
                <w:szCs w:val="20"/>
                <w:color w:val="auto"/>
              </w:rPr>
            </w:pPr>
            <w:r>
              <w:rPr>
                <w:rFonts w:ascii="Arial" w:cs="Arial" w:eastAsia="Arial" w:hAnsi="Arial"/>
                <w:sz w:val="9"/>
                <w:szCs w:val="9"/>
                <w:color w:val="auto"/>
              </w:rPr>
              <w:t>21,270</w:t>
            </w:r>
          </w:p>
        </w:tc>
        <w:tc>
          <w:tcPr>
            <w:tcW w:w="60" w:type="dxa"/>
            <w:vAlign w:val="bottom"/>
          </w:tcPr>
          <w:p>
            <w:pPr>
              <w:spacing w:after="0"/>
              <w:rPr>
                <w:sz w:val="7"/>
                <w:szCs w:val="7"/>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9"/>
                <w:szCs w:val="9"/>
                <w:color w:val="auto"/>
              </w:rPr>
              <w:t>95,066</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89,643</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184,709</w:t>
            </w:r>
          </w:p>
        </w:tc>
        <w:tc>
          <w:tcPr>
            <w:tcW w:w="60" w:type="dxa"/>
            <w:vAlign w:val="bottom"/>
          </w:tcPr>
          <w:p>
            <w:pPr>
              <w:spacing w:after="0"/>
              <w:rPr>
                <w:sz w:val="7"/>
                <w:szCs w:val="7"/>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28,575</w:t>
            </w:r>
          </w:p>
        </w:tc>
        <w:tc>
          <w:tcPr>
            <w:tcW w:w="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9"/>
                <w:szCs w:val="9"/>
                <w:color w:val="auto"/>
                <w:w w:val="99"/>
              </w:rPr>
              <w:t>1977-1981/2007-2013</w:t>
            </w:r>
          </w:p>
        </w:tc>
        <w:tc>
          <w:tcPr>
            <w:tcW w:w="6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Arial" w:cs="Arial" w:eastAsia="Arial" w:hAnsi="Arial"/>
                <w:sz w:val="9"/>
                <w:szCs w:val="9"/>
                <w:color w:val="auto"/>
              </w:rPr>
              <w:t>2013</w:t>
            </w:r>
          </w:p>
        </w:tc>
        <w:tc>
          <w:tcPr>
            <w:tcW w:w="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9"/>
        </w:trPr>
        <w:tc>
          <w:tcPr>
            <w:tcW w:w="620" w:type="dxa"/>
            <w:vAlign w:val="bottom"/>
            <w:gridSpan w:val="2"/>
          </w:tcPr>
          <w:p>
            <w:pPr>
              <w:spacing w:after="0"/>
              <w:rPr>
                <w:sz w:val="20"/>
                <w:szCs w:val="20"/>
                <w:color w:val="auto"/>
              </w:rPr>
            </w:pPr>
            <w:r>
              <w:rPr>
                <w:rFonts w:ascii="Arial" w:cs="Arial" w:eastAsia="Arial" w:hAnsi="Arial"/>
                <w:sz w:val="9"/>
                <w:szCs w:val="9"/>
                <w:color w:val="auto"/>
              </w:rPr>
              <w:t>Park</w:t>
            </w:r>
          </w:p>
        </w:tc>
        <w:tc>
          <w:tcPr>
            <w:tcW w:w="340" w:type="dxa"/>
            <w:vAlign w:val="bottom"/>
            <w:gridSpan w:val="2"/>
            <w:vMerge w:val="continue"/>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CA</w:t>
            </w:r>
          </w:p>
        </w:tc>
        <w:tc>
          <w:tcPr>
            <w:tcW w:w="6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Reservoir</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Place</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3"/>
              </w:rPr>
              <w:t>Office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18,605</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104,124</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9"/>
                <w:szCs w:val="9"/>
                <w:color w:val="auto"/>
              </w:rPr>
              <w:t>55,359</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20,108</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156,915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178,088</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85,394</w:t>
            </w: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1955/1987/2017</w:t>
            </w:r>
          </w:p>
        </w:tc>
        <w:tc>
          <w:tcPr>
            <w:tcW w:w="60" w:type="dxa"/>
            <w:vAlign w:val="bottom"/>
            <w:shd w:val="clear" w:color="auto" w:fill="CCEEFF"/>
          </w:tcPr>
          <w:p>
            <w:pPr>
              <w:spacing w:after="0"/>
              <w:rPr>
                <w:sz w:val="9"/>
                <w:szCs w:val="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1997/1998</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Boston Properties, Inc.</w:t>
      </w:r>
    </w:p>
    <w:p>
      <w:pPr>
        <w:jc w:val="center"/>
        <w:ind w:right="-39"/>
        <w:spacing w:after="0" w:line="216"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ind w:right="-39"/>
        <w:spacing w:after="0" w:line="201" w:lineRule="auto"/>
        <w:rPr>
          <w:sz w:val="20"/>
          <w:szCs w:val="20"/>
          <w:color w:val="auto"/>
        </w:rPr>
      </w:pPr>
      <w:r>
        <w:rPr>
          <w:rFonts w:ascii="Arial" w:cs="Arial" w:eastAsia="Arial" w:hAnsi="Arial"/>
          <w:sz w:val="16"/>
          <w:szCs w:val="16"/>
          <w:b w:val="1"/>
          <w:bCs w:val="1"/>
          <w:color w:val="auto"/>
        </w:rPr>
        <w:t>December 31, 2022</w:t>
      </w:r>
    </w:p>
    <w:p>
      <w:pPr>
        <w:jc w:val="center"/>
        <w:ind w:right="-39"/>
        <w:spacing w:after="0"/>
        <w:rPr>
          <w:sz w:val="20"/>
          <w:szCs w:val="20"/>
          <w:color w:val="auto"/>
        </w:rPr>
      </w:pPr>
      <w:r>
        <w:rPr>
          <w:rFonts w:ascii="Arial" w:cs="Arial" w:eastAsia="Arial" w:hAnsi="Arial"/>
          <w:sz w:val="16"/>
          <w:szCs w:val="16"/>
          <w:b w:val="1"/>
          <w:bCs w:val="1"/>
          <w:color w:val="auto"/>
        </w:rPr>
        <w:t>(dollars in thousands)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92"/>
        </w:trPr>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8"/>
              </w:rPr>
              <w:t>Costs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9"/>
              </w:rPr>
              <w:t>Development</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right"/>
              <w:ind w:right="337"/>
              <w:spacing w:after="0"/>
              <w:rPr>
                <w:sz w:val="20"/>
                <w:szCs w:val="20"/>
                <w:color w:val="auto"/>
              </w:rPr>
            </w:pPr>
            <w:r>
              <w:rPr>
                <w:rFonts w:ascii="Arial" w:cs="Arial" w:eastAsia="Arial" w:hAnsi="Arial"/>
                <w:sz w:val="8"/>
                <w:szCs w:val="8"/>
                <w:b w:val="1"/>
                <w:bCs w:val="1"/>
                <w:color w:val="auto"/>
              </w:rPr>
              <w:t>Original</w:t>
            </w:r>
          </w:p>
        </w:tc>
        <w:tc>
          <w:tcPr>
            <w:tcW w:w="60" w:type="dxa"/>
            <w:vAlign w:val="bottom"/>
          </w:tcPr>
          <w:p>
            <w:pPr>
              <w:spacing w:after="0"/>
              <w:rPr>
                <w:sz w:val="7"/>
                <w:szCs w:val="7"/>
                <w:color w:val="auto"/>
              </w:rPr>
            </w:pPr>
          </w:p>
        </w:tc>
        <w:tc>
          <w:tcPr>
            <w:tcW w:w="620" w:type="dxa"/>
            <w:vAlign w:val="bottom"/>
            <w:gridSpan w:val="2"/>
          </w:tcPr>
          <w:p>
            <w:pPr>
              <w:jc w:val="center"/>
              <w:ind w:right="60"/>
              <w:spacing w:after="0" w:line="82" w:lineRule="exact"/>
              <w:rPr>
                <w:sz w:val="20"/>
                <w:szCs w:val="20"/>
                <w:color w:val="auto"/>
              </w:rPr>
            </w:pPr>
            <w:r>
              <w:rPr>
                <w:rFonts w:ascii="Arial" w:cs="Arial" w:eastAsia="Arial" w:hAnsi="Arial"/>
                <w:sz w:val="8"/>
                <w:szCs w:val="8"/>
                <w:b w:val="1"/>
                <w:bCs w:val="1"/>
                <w:color w:val="auto"/>
                <w:w w:val="94"/>
              </w:rPr>
              <w:t>Capitalized</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Borders>
              <w:bottom w:val="single" w:sz="8" w:color="auto"/>
            </w:tcBorders>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60"/>
              <w:spacing w:after="0" w:line="71" w:lineRule="exact"/>
              <w:rPr>
                <w:sz w:val="20"/>
                <w:szCs w:val="20"/>
                <w:color w:val="auto"/>
              </w:rPr>
            </w:pPr>
            <w:r>
              <w:rPr>
                <w:rFonts w:ascii="Arial" w:cs="Arial" w:eastAsia="Arial" w:hAnsi="Arial"/>
                <w:sz w:val="8"/>
                <w:szCs w:val="8"/>
                <w:b w:val="1"/>
                <w:bCs w:val="1"/>
                <w:color w:val="auto"/>
                <w:w w:val="95"/>
              </w:rPr>
              <w:t>Subsequent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8"/>
              </w:rPr>
              <w:t>and</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restart"/>
          </w:tcPr>
          <w:p>
            <w:pPr>
              <w:jc w:val="right"/>
              <w:ind w:right="97"/>
              <w:spacing w:after="0"/>
              <w:rPr>
                <w:sz w:val="20"/>
                <w:szCs w:val="20"/>
                <w:color w:val="auto"/>
              </w:rPr>
            </w:pPr>
            <w:r>
              <w:rPr>
                <w:rFonts w:ascii="Arial" w:cs="Arial" w:eastAsia="Arial" w:hAnsi="Arial"/>
                <w:sz w:val="9"/>
                <w:szCs w:val="9"/>
                <w:b w:val="1"/>
                <w:bCs w:val="1"/>
                <w:color w:val="auto"/>
              </w:rPr>
              <w:t>Land</w:t>
            </w:r>
          </w:p>
        </w:tc>
        <w:tc>
          <w:tcPr>
            <w:tcW w:w="60" w:type="dxa"/>
            <w:vAlign w:val="bottom"/>
            <w:vMerge w:val="restart"/>
          </w:tcPr>
          <w:p>
            <w:pPr>
              <w:spacing w:after="0"/>
              <w:rPr>
                <w:sz w:val="5"/>
                <w:szCs w:val="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60" w:type="dxa"/>
            <w:vAlign w:val="bottom"/>
          </w:tcPr>
          <w:p>
            <w:pPr>
              <w:spacing w:after="0"/>
              <w:rPr>
                <w:sz w:val="5"/>
                <w:szCs w:val="5"/>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5"/>
                <w:szCs w:val="5"/>
                <w:b w:val="1"/>
                <w:bCs w:val="1"/>
                <w:color w:val="auto"/>
              </w:rPr>
              <w:t>to</w:t>
            </w:r>
          </w:p>
        </w:tc>
        <w:tc>
          <w:tcPr>
            <w:tcW w:w="780" w:type="dxa"/>
            <w:vAlign w:val="bottom"/>
            <w:gridSpan w:val="2"/>
          </w:tcPr>
          <w:p>
            <w:pPr>
              <w:ind w:left="140"/>
              <w:spacing w:after="0"/>
              <w:rPr>
                <w:sz w:val="20"/>
                <w:szCs w:val="20"/>
                <w:color w:val="auto"/>
              </w:rPr>
            </w:pPr>
            <w:r>
              <w:rPr>
                <w:rFonts w:ascii="Arial" w:cs="Arial" w:eastAsia="Arial" w:hAnsi="Arial"/>
                <w:sz w:val="5"/>
                <w:szCs w:val="5"/>
                <w:b w:val="1"/>
                <w:bCs w:val="1"/>
                <w:color w:val="auto"/>
              </w:rPr>
              <w:t>Land and</w:t>
            </w:r>
          </w:p>
        </w:tc>
        <w:tc>
          <w:tcPr>
            <w:tcW w:w="780" w:type="dxa"/>
            <w:vAlign w:val="bottom"/>
            <w:gridSpan w:val="2"/>
          </w:tcPr>
          <w:p>
            <w:pPr>
              <w:ind w:left="80"/>
              <w:spacing w:after="0"/>
              <w:rPr>
                <w:sz w:val="20"/>
                <w:szCs w:val="20"/>
                <w:color w:val="auto"/>
              </w:rPr>
            </w:pPr>
            <w:r>
              <w:rPr>
                <w:rFonts w:ascii="Arial" w:cs="Arial" w:eastAsia="Arial" w:hAnsi="Arial"/>
                <w:sz w:val="5"/>
                <w:szCs w:val="5"/>
                <w:b w:val="1"/>
                <w:bCs w:val="1"/>
                <w:color w:val="auto"/>
              </w:rPr>
              <w:t>Building and</w:t>
            </w:r>
          </w:p>
        </w:tc>
        <w:tc>
          <w:tcPr>
            <w:tcW w:w="760" w:type="dxa"/>
            <w:vAlign w:val="bottom"/>
            <w:gridSpan w:val="2"/>
          </w:tcPr>
          <w:p>
            <w:pPr>
              <w:ind w:left="40"/>
              <w:spacing w:after="0"/>
              <w:rPr>
                <w:sz w:val="20"/>
                <w:szCs w:val="20"/>
                <w:color w:val="auto"/>
              </w:rPr>
            </w:pPr>
            <w:r>
              <w:rPr>
                <w:rFonts w:ascii="Arial" w:cs="Arial" w:eastAsia="Arial" w:hAnsi="Arial"/>
                <w:sz w:val="5"/>
                <w:szCs w:val="5"/>
                <w:b w:val="1"/>
                <w:bCs w:val="1"/>
                <w:color w:val="auto"/>
              </w:rPr>
              <w:t>Land Held for</w:t>
            </w:r>
          </w:p>
        </w:tc>
        <w:tc>
          <w:tcPr>
            <w:tcW w:w="660" w:type="dxa"/>
            <w:vAlign w:val="bottom"/>
            <w:gridSpan w:val="2"/>
          </w:tcPr>
          <w:p>
            <w:pPr>
              <w:jc w:val="center"/>
              <w:ind w:right="80"/>
              <w:spacing w:after="0"/>
              <w:rPr>
                <w:sz w:val="20"/>
                <w:szCs w:val="20"/>
                <w:color w:val="auto"/>
              </w:rPr>
            </w:pPr>
            <w:r>
              <w:rPr>
                <w:rFonts w:ascii="Arial" w:cs="Arial" w:eastAsia="Arial" w:hAnsi="Arial"/>
                <w:sz w:val="5"/>
                <w:szCs w:val="5"/>
                <w:b w:val="1"/>
                <w:bCs w:val="1"/>
                <w:color w:val="auto"/>
              </w:rPr>
              <w:t>Construction</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tcPr>
          <w:p>
            <w:pPr>
              <w:ind w:left="80"/>
              <w:spacing w:after="0"/>
              <w:rPr>
                <w:sz w:val="20"/>
                <w:szCs w:val="20"/>
                <w:color w:val="auto"/>
              </w:rPr>
            </w:pPr>
            <w:r>
              <w:rPr>
                <w:rFonts w:ascii="Arial" w:cs="Arial" w:eastAsia="Arial" w:hAnsi="Arial"/>
                <w:sz w:val="5"/>
                <w:szCs w:val="5"/>
                <w:b w:val="1"/>
                <w:bCs w:val="1"/>
                <w:color w:val="auto"/>
              </w:rPr>
              <w:t>Accumulated</w:t>
            </w:r>
          </w:p>
        </w:tc>
        <w:tc>
          <w:tcPr>
            <w:tcW w:w="720" w:type="dxa"/>
            <w:vAlign w:val="bottom"/>
            <w:gridSpan w:val="2"/>
          </w:tcPr>
          <w:p>
            <w:pPr>
              <w:jc w:val="center"/>
              <w:ind w:right="60"/>
              <w:spacing w:after="0"/>
              <w:rPr>
                <w:sz w:val="20"/>
                <w:szCs w:val="20"/>
                <w:color w:val="auto"/>
              </w:rPr>
            </w:pPr>
            <w:r>
              <w:rPr>
                <w:rFonts w:ascii="Arial" w:cs="Arial" w:eastAsia="Arial" w:hAnsi="Arial"/>
                <w:sz w:val="5"/>
                <w:szCs w:val="5"/>
                <w:b w:val="1"/>
                <w:bCs w:val="1"/>
                <w:color w:val="auto"/>
              </w:rPr>
              <w:t>Year(s)</w:t>
            </w:r>
          </w:p>
        </w:tc>
        <w:tc>
          <w:tcPr>
            <w:tcW w:w="560" w:type="dxa"/>
            <w:vAlign w:val="bottom"/>
            <w:gridSpan w:val="2"/>
          </w:tcPr>
          <w:p>
            <w:pPr>
              <w:ind w:left="120"/>
              <w:spacing w:after="0"/>
              <w:rPr>
                <w:sz w:val="20"/>
                <w:szCs w:val="20"/>
                <w:color w:val="auto"/>
              </w:rPr>
            </w:pPr>
            <w:r>
              <w:rPr>
                <w:rFonts w:ascii="Arial" w:cs="Arial" w:eastAsia="Arial" w:hAnsi="Arial"/>
                <w:sz w:val="5"/>
                <w:szCs w:val="5"/>
                <w:b w:val="1"/>
                <w:bCs w:val="1"/>
                <w:color w:val="auto"/>
              </w:rPr>
              <w:t>Year(s)</w:t>
            </w:r>
          </w:p>
        </w:tc>
        <w:tc>
          <w:tcPr>
            <w:tcW w:w="560" w:type="dxa"/>
            <w:vAlign w:val="bottom"/>
          </w:tcPr>
          <w:p>
            <w:pPr>
              <w:jc w:val="center"/>
              <w:spacing w:after="0"/>
              <w:rPr>
                <w:sz w:val="20"/>
                <w:szCs w:val="20"/>
                <w:color w:val="auto"/>
              </w:rPr>
            </w:pPr>
            <w:r>
              <w:rPr>
                <w:rFonts w:ascii="Arial" w:cs="Arial" w:eastAsia="Arial" w:hAnsi="Arial"/>
                <w:sz w:val="5"/>
                <w:szCs w:val="5"/>
                <w:b w:val="1"/>
                <w:bCs w:val="1"/>
                <w:color w:val="auto"/>
              </w:rPr>
              <w:t>Depreciable</w:t>
            </w:r>
          </w:p>
        </w:tc>
        <w:tc>
          <w:tcPr>
            <w:tcW w:w="0" w:type="dxa"/>
            <w:vAlign w:val="bottom"/>
          </w:tcPr>
          <w:p>
            <w:pPr>
              <w:spacing w:after="0"/>
              <w:rPr>
                <w:sz w:val="1"/>
                <w:szCs w:val="1"/>
                <w:color w:val="auto"/>
              </w:rPr>
            </w:pPr>
          </w:p>
        </w:tc>
      </w:tr>
      <w:tr>
        <w:trPr>
          <w:trHeight w:val="114"/>
        </w:trPr>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Property Name</w:t>
            </w:r>
          </w:p>
        </w:tc>
        <w:tc>
          <w:tcPr>
            <w:tcW w:w="60" w:type="dxa"/>
            <w:vAlign w:val="bottom"/>
          </w:tcPr>
          <w:p>
            <w:pPr>
              <w:spacing w:after="0"/>
              <w:rPr>
                <w:sz w:val="9"/>
                <w:szCs w:val="9"/>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8"/>
                <w:szCs w:val="8"/>
                <w:b w:val="1"/>
                <w:bCs w:val="1"/>
                <w:color w:val="auto"/>
              </w:rPr>
              <w:t>Type</w:t>
            </w:r>
          </w:p>
        </w:tc>
        <w:tc>
          <w:tcPr>
            <w:tcW w:w="60" w:type="dxa"/>
            <w:vAlign w:val="bottom"/>
          </w:tcPr>
          <w:p>
            <w:pPr>
              <w:spacing w:after="0"/>
              <w:rPr>
                <w:sz w:val="9"/>
                <w:szCs w:val="9"/>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8"/>
                <w:szCs w:val="8"/>
                <w:b w:val="1"/>
                <w:bCs w:val="1"/>
                <w:color w:val="auto"/>
              </w:rPr>
              <w:t>Location</w:t>
            </w:r>
          </w:p>
        </w:tc>
        <w:tc>
          <w:tcPr>
            <w:tcW w:w="80" w:type="dxa"/>
            <w:vAlign w:val="bottom"/>
          </w:tcPr>
          <w:p>
            <w:pPr>
              <w:spacing w:after="0"/>
              <w:rPr>
                <w:sz w:val="9"/>
                <w:szCs w:val="9"/>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Encumbrances</w:t>
            </w:r>
          </w:p>
        </w:tc>
        <w:tc>
          <w:tcPr>
            <w:tcW w:w="140" w:type="dxa"/>
            <w:vAlign w:val="bottom"/>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Acquisition</w:t>
            </w:r>
          </w:p>
        </w:tc>
        <w:tc>
          <w:tcPr>
            <w:tcW w:w="60" w:type="dxa"/>
            <w:vAlign w:val="bottom"/>
          </w:tcPr>
          <w:p>
            <w:pPr>
              <w:spacing w:after="0"/>
              <w:rPr>
                <w:sz w:val="9"/>
                <w:szCs w:val="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Improvements</w:t>
            </w:r>
          </w:p>
        </w:tc>
        <w:tc>
          <w:tcPr>
            <w:tcW w:w="140" w:type="dxa"/>
            <w:vAlign w:val="bottom"/>
          </w:tcPr>
          <w:p>
            <w:pPr>
              <w:spacing w:after="0"/>
              <w:rPr>
                <w:sz w:val="9"/>
                <w:szCs w:val="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Improvements</w:t>
            </w:r>
          </w:p>
        </w:tc>
        <w:tc>
          <w:tcPr>
            <w:tcW w:w="140" w:type="dxa"/>
            <w:vAlign w:val="bottom"/>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Development</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in Progress</w:t>
            </w:r>
          </w:p>
        </w:tc>
        <w:tc>
          <w:tcPr>
            <w:tcW w:w="80" w:type="dxa"/>
            <w:vAlign w:val="bottom"/>
          </w:tcPr>
          <w:p>
            <w:pPr>
              <w:spacing w:after="0"/>
              <w:rPr>
                <w:sz w:val="9"/>
                <w:szCs w:val="9"/>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9"/>
                <w:szCs w:val="9"/>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Built/Renovated</w:t>
            </w:r>
          </w:p>
        </w:tc>
        <w:tc>
          <w:tcPr>
            <w:tcW w:w="80" w:type="dxa"/>
            <w:vAlign w:val="bottom"/>
          </w:tcPr>
          <w:p>
            <w:pPr>
              <w:spacing w:after="0"/>
              <w:rPr>
                <w:sz w:val="9"/>
                <w:szCs w:val="9"/>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b w:val="1"/>
                <w:bCs w:val="1"/>
                <w:color w:val="auto"/>
              </w:rPr>
              <w:t>Acquired</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96"/>
        </w:trPr>
        <w:tc>
          <w:tcPr>
            <w:tcW w:w="1000" w:type="dxa"/>
            <w:vAlign w:val="bottom"/>
            <w:gridSpan w:val="3"/>
          </w:tcPr>
          <w:p>
            <w:pPr>
              <w:spacing w:after="0" w:line="96" w:lineRule="exact"/>
              <w:rPr>
                <w:sz w:val="20"/>
                <w:szCs w:val="20"/>
                <w:color w:val="auto"/>
              </w:rPr>
            </w:pPr>
            <w:r>
              <w:rPr>
                <w:rFonts w:ascii="Arial" w:cs="Arial" w:eastAsia="Arial" w:hAnsi="Arial"/>
                <w:sz w:val="9"/>
                <w:szCs w:val="9"/>
                <w:color w:val="auto"/>
              </w:rPr>
              <w:t>1330 Connecticut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spacing w:after="0"/>
              <w:rPr>
                <w:sz w:val="20"/>
                <w:szCs w:val="20"/>
                <w:color w:val="auto"/>
              </w:rPr>
            </w:pPr>
            <w:r>
              <w:rPr>
                <w:rFonts w:ascii="Arial" w:cs="Arial" w:eastAsia="Arial" w:hAnsi="Arial"/>
                <w:sz w:val="9"/>
                <w:szCs w:val="9"/>
                <w:color w:val="auto"/>
              </w:rPr>
              <w:t>Avenue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25,982</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82,311</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38,047</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27,135</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119,205</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146,340</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48,273</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1984/2018</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One Freedom Square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9,929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84,504</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51,743</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11,293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134,883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146,176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66,084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880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Winter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15,597</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37,255</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91,537</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15,597</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128,792</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144,389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2,560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1998/2022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Kingstowne Towne</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Alexandria, VA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18,021</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109,038</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3,822</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18,062</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112,819</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130,881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52,543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2003-2006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140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Kendrick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Needham,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18,095</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66,905</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42,528</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19,092</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102,625</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5,811</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127,528</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41,627</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Shady Grove</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Innovation District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Rockville, MD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52,030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64,212</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7,219</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26,834</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34,988</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61,639</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123,461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3,319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1968-1985</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spacing w:after="0" w:line="99" w:lineRule="exact"/>
              <w:rPr>
                <w:sz w:val="20"/>
                <w:szCs w:val="20"/>
                <w:color w:val="auto"/>
              </w:rPr>
            </w:pPr>
            <w:r>
              <w:rPr>
                <w:rFonts w:ascii="Arial" w:cs="Arial" w:eastAsia="Arial" w:hAnsi="Arial"/>
                <w:sz w:val="9"/>
                <w:szCs w:val="9"/>
                <w:color w:val="auto"/>
              </w:rPr>
              <w:t>One and Two Reston</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spacing w:after="0"/>
              <w:rPr>
                <w:sz w:val="20"/>
                <w:szCs w:val="20"/>
                <w:color w:val="auto"/>
              </w:rPr>
            </w:pPr>
            <w:r>
              <w:rPr>
                <w:rFonts w:ascii="Arial" w:cs="Arial" w:eastAsia="Arial" w:hAnsi="Arial"/>
                <w:sz w:val="9"/>
                <w:szCs w:val="9"/>
                <w:color w:val="auto"/>
              </w:rPr>
              <w:t>Overlook</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16,456</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66,192</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40,516</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16,179</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106,985</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123,164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57,631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1999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Weston Corporate</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Weston,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25,753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92,312</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968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25,854</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93,179</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119,033</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38,385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spacing w:after="0" w:line="99" w:lineRule="exact"/>
              <w:rPr>
                <w:sz w:val="20"/>
                <w:szCs w:val="20"/>
                <w:color w:val="auto"/>
              </w:rPr>
            </w:pPr>
            <w:r>
              <w:rPr>
                <w:rFonts w:ascii="Arial" w:cs="Arial" w:eastAsia="Arial" w:hAnsi="Arial"/>
                <w:sz w:val="9"/>
                <w:szCs w:val="9"/>
                <w:color w:val="auto"/>
              </w:rPr>
              <w:t>17Fifty Presidents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spacing w:after="0"/>
              <w:rPr>
                <w:sz w:val="20"/>
                <w:szCs w:val="20"/>
                <w:color w:val="auto"/>
              </w:rPr>
            </w:pPr>
            <w:r>
              <w:rPr>
                <w:rFonts w:ascii="Arial" w:cs="Arial" w:eastAsia="Arial" w:hAnsi="Arial"/>
                <w:sz w:val="9"/>
                <w:szCs w:val="9"/>
                <w:color w:val="auto"/>
              </w:rPr>
              <w:t>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113,362</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162</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113,524</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113,524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12,232</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Discovery Square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11,198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71,782</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21,618</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12,533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92,065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104,598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54,116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355</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Main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18,863</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53,346</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25,418</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21,173</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76,454</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97,627</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34,399</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5"/>
              </w:rPr>
              <w:t>1981/1996/2013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10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1,953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85,752</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6,406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91,821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94,111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20,616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Two Freedom Square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13,930</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77,739</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317</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15,420</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76,566</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91,986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35,850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92"/>
              </w:rPr>
              <w:t>200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West 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16,148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24,983</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49,264</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16,813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73,265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90,395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23,428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1999/2021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90 Broadway</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19,104</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52,078</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18,876</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20,785</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69,273</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90,058</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29,294</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5"/>
              </w:rPr>
              <w:t>1983/1998/2013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92"/>
              </w:rPr>
              <w:t>153</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&amp; 211 Second</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Avenue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33,233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55,940</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202</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33,233</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55,940</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89,375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4,808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1964-2006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230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CityPoint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13,189</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49,823</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24,604</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13,807</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73,809</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87,616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38,306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1992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2005</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20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4,887</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72,764</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7,072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4,887</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79,836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84,723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spacing w:after="0" w:line="99" w:lineRule="exact"/>
              <w:rPr>
                <w:sz w:val="20"/>
                <w:szCs w:val="20"/>
                <w:color w:val="auto"/>
              </w:rPr>
            </w:pPr>
            <w:r>
              <w:rPr>
                <w:rFonts w:ascii="Arial" w:cs="Arial" w:eastAsia="Arial" w:hAnsi="Arial"/>
                <w:sz w:val="9"/>
                <w:szCs w:val="9"/>
                <w:color w:val="auto"/>
              </w:rPr>
              <w:t>Waltham Weston</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spacing w:after="0"/>
              <w:rPr>
                <w:sz w:val="20"/>
                <w:szCs w:val="20"/>
                <w:color w:val="auto"/>
              </w:rPr>
            </w:pPr>
            <w:r>
              <w:rPr>
                <w:rFonts w:ascii="Arial" w:cs="Arial" w:eastAsia="Arial" w:hAnsi="Arial"/>
                <w:sz w:val="9"/>
                <w:szCs w:val="9"/>
                <w:color w:val="auto"/>
              </w:rPr>
              <w:t>Corporate Center</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10,385</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60,694</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12,859</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11,097</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72,841</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83,938</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42,839</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77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13,847</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60,383</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9,701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14,023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69,908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83,931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32,578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Sumner Square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624</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28,745</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49,302</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28,205</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50,466</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78,671</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31,436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2440 West El Camino</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Real</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Mountain View, CA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16,741</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51,285</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6,391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16,741</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57,676</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74,417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19,375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1987/2003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300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Binney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18,080</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51,262</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1,268</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18,080</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51,402</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1,128</w:t>
            </w:r>
          </w:p>
        </w:tc>
        <w:tc>
          <w:tcPr>
            <w:tcW w:w="16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70,610</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18,995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Reston Corporate</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9,135</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50,857</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5,579</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10,148</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55,423</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65,571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33,822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Wisconsin Place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Chevy Chase, MD</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53,349</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11,204</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64,553</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64,553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26,659</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92"/>
              </w:rPr>
              <w:t>255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Main 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134</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25,110</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33,597</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58,293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58,841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42,204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University Place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37,091</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15,903</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5,425</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47,569</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52,994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35,296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92"/>
              </w:rPr>
              <w:t>890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Winter 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13,913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28,557</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6,998</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13,913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35,555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49,468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5,409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Capital Gallery</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4,725</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29,565</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9,544</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8,662</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35,172</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43,834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22,415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1981/2006</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North First Business</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Park</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San Jose, CA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23,398</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13,069</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5,288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23,378</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18,377</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41,755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17,270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1981</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150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Broadway</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850</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25,042</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15,726</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1,323</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40,295</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41,618</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16,841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1999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92"/>
              </w:rPr>
              <w:t>105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Broadway</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1,299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12,943</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12,718</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2,390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24,570</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26,960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15,578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spacing w:after="0"/>
              <w:rPr>
                <w:sz w:val="20"/>
                <w:szCs w:val="20"/>
                <w:color w:val="auto"/>
              </w:rPr>
            </w:pPr>
            <w:r>
              <w:rPr>
                <w:rFonts w:ascii="Arial" w:cs="Arial" w:eastAsia="Arial" w:hAnsi="Arial"/>
                <w:sz w:val="9"/>
                <w:szCs w:val="9"/>
                <w:color w:val="auto"/>
              </w:rPr>
              <w:t>Lexington Office Park</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Lexington, MA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998</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1,426</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19,842</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1,263</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19,551</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1,452</w:t>
            </w:r>
          </w:p>
        </w:tc>
        <w:tc>
          <w:tcPr>
            <w:tcW w:w="16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22,266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16,716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The 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10,040</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546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6,492</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16,981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20"/>
                <w:szCs w:val="20"/>
                <w:color w:val="auto"/>
              </w:rPr>
            </w:pPr>
            <w:r>
              <w:rPr>
                <w:rFonts w:ascii="Arial" w:cs="Arial" w:eastAsia="Arial" w:hAnsi="Arial"/>
                <w:sz w:val="9"/>
                <w:szCs w:val="9"/>
                <w:color w:val="auto"/>
                <w:w w:val="92"/>
              </w:rPr>
              <w:t>690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Folsom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San Francisco, CA</w:t>
            </w: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3,219</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11,038</w:t>
            </w:r>
          </w:p>
        </w:tc>
        <w:tc>
          <w:tcPr>
            <w:tcW w:w="620" w:type="dxa"/>
            <w:vAlign w:val="bottom"/>
            <w:gridSpan w:val="2"/>
          </w:tcPr>
          <w:p>
            <w:pPr>
              <w:jc w:val="right"/>
              <w:ind w:right="23"/>
              <w:spacing w:after="0"/>
              <w:rPr>
                <w:sz w:val="20"/>
                <w:szCs w:val="20"/>
                <w:color w:val="auto"/>
              </w:rPr>
            </w:pPr>
            <w:r>
              <w:rPr>
                <w:rFonts w:ascii="Arial" w:cs="Arial" w:eastAsia="Arial" w:hAnsi="Arial"/>
                <w:sz w:val="9"/>
                <w:szCs w:val="9"/>
                <w:color w:val="auto"/>
              </w:rPr>
              <w:t>1,877</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3,219</w:t>
            </w:r>
          </w:p>
        </w:tc>
        <w:tc>
          <w:tcPr>
            <w:tcW w:w="14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12,915</w:t>
            </w:r>
          </w:p>
        </w:tc>
        <w:tc>
          <w:tcPr>
            <w:tcW w:w="1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16,134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3,838</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2015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spacing w:after="0"/>
              <w:rPr>
                <w:sz w:val="20"/>
                <w:szCs w:val="20"/>
                <w:color w:val="auto"/>
              </w:rPr>
            </w:pPr>
            <w:r>
              <w:rPr>
                <w:rFonts w:ascii="Arial" w:cs="Arial" w:eastAsia="Arial" w:hAnsi="Arial"/>
                <w:sz w:val="9"/>
                <w:szCs w:val="9"/>
                <w:color w:val="auto"/>
              </w:rPr>
              <w:t>33 Hayden Avenue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Lexington, MA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266</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3,234</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9"/>
                <w:szCs w:val="9"/>
                <w:color w:val="auto"/>
              </w:rPr>
              <w:t>11,501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425</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14,576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15,001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7,929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Boston Properties, Inc.</w:t>
      </w:r>
    </w:p>
    <w:p>
      <w:pPr>
        <w:jc w:val="center"/>
        <w:ind w:right="-39"/>
        <w:spacing w:after="0" w:line="216"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ind w:right="-39"/>
        <w:spacing w:after="0" w:line="201" w:lineRule="auto"/>
        <w:rPr>
          <w:sz w:val="20"/>
          <w:szCs w:val="20"/>
          <w:color w:val="auto"/>
        </w:rPr>
      </w:pPr>
      <w:r>
        <w:rPr>
          <w:rFonts w:ascii="Arial" w:cs="Arial" w:eastAsia="Arial" w:hAnsi="Arial"/>
          <w:sz w:val="16"/>
          <w:szCs w:val="16"/>
          <w:b w:val="1"/>
          <w:bCs w:val="1"/>
          <w:color w:val="auto"/>
        </w:rPr>
        <w:t>December 31, 2022</w:t>
      </w:r>
    </w:p>
    <w:p>
      <w:pPr>
        <w:jc w:val="center"/>
        <w:ind w:right="-39"/>
        <w:spacing w:after="0"/>
        <w:rPr>
          <w:sz w:val="20"/>
          <w:szCs w:val="20"/>
          <w:color w:val="auto"/>
        </w:rPr>
      </w:pPr>
      <w:r>
        <w:rPr>
          <w:rFonts w:ascii="Arial" w:cs="Arial" w:eastAsia="Arial" w:hAnsi="Arial"/>
          <w:sz w:val="16"/>
          <w:szCs w:val="16"/>
          <w:b w:val="1"/>
          <w:bCs w:val="1"/>
          <w:color w:val="auto"/>
        </w:rPr>
        <w:t>(dollars in thousands)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92"/>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98"/>
              </w:rPr>
              <w:t>Costs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3"/>
            <w:vMerge w:val="restart"/>
          </w:tcPr>
          <w:p>
            <w:pPr>
              <w:jc w:val="center"/>
              <w:ind w:right="80"/>
              <w:spacing w:after="0"/>
              <w:rPr>
                <w:sz w:val="20"/>
                <w:szCs w:val="20"/>
                <w:color w:val="auto"/>
              </w:rPr>
            </w:pPr>
            <w:r>
              <w:rPr>
                <w:rFonts w:ascii="Arial" w:cs="Arial" w:eastAsia="Arial" w:hAnsi="Arial"/>
                <w:sz w:val="8"/>
                <w:szCs w:val="8"/>
                <w:b w:val="1"/>
                <w:bCs w:val="1"/>
                <w:color w:val="auto"/>
                <w:w w:val="99"/>
              </w:rPr>
              <w:t>Development</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3"/>
            <w:vMerge w:val="restart"/>
          </w:tcPr>
          <w:p>
            <w:pPr>
              <w:jc w:val="right"/>
              <w:ind w:right="417"/>
              <w:spacing w:after="0"/>
              <w:rPr>
                <w:sz w:val="20"/>
                <w:szCs w:val="20"/>
                <w:color w:val="auto"/>
              </w:rPr>
            </w:pPr>
            <w:r>
              <w:rPr>
                <w:rFonts w:ascii="Arial" w:cs="Arial" w:eastAsia="Arial" w:hAnsi="Arial"/>
                <w:sz w:val="8"/>
                <w:szCs w:val="8"/>
                <w:b w:val="1"/>
                <w:bCs w:val="1"/>
                <w:color w:val="auto"/>
              </w:rPr>
              <w:t>Original</w:t>
            </w:r>
          </w:p>
        </w:tc>
        <w:tc>
          <w:tcPr>
            <w:tcW w:w="60" w:type="dxa"/>
            <w:vAlign w:val="bottom"/>
            <w:vMerge w:val="restart"/>
          </w:tcPr>
          <w:p>
            <w:pPr>
              <w:spacing w:after="0"/>
              <w:rPr>
                <w:sz w:val="7"/>
                <w:szCs w:val="7"/>
                <w:color w:val="auto"/>
              </w:rPr>
            </w:pPr>
          </w:p>
        </w:tc>
        <w:tc>
          <w:tcPr>
            <w:tcW w:w="600" w:type="dxa"/>
            <w:vAlign w:val="bottom"/>
            <w:gridSpan w:val="2"/>
          </w:tcPr>
          <w:p>
            <w:pPr>
              <w:jc w:val="center"/>
              <w:ind w:right="60"/>
              <w:spacing w:after="0" w:line="82" w:lineRule="exact"/>
              <w:rPr>
                <w:sz w:val="20"/>
                <w:szCs w:val="20"/>
                <w:color w:val="auto"/>
              </w:rPr>
            </w:pPr>
            <w:r>
              <w:rPr>
                <w:rFonts w:ascii="Arial" w:cs="Arial" w:eastAsia="Arial" w:hAnsi="Arial"/>
                <w:sz w:val="8"/>
                <w:szCs w:val="8"/>
                <w:b w:val="1"/>
                <w:bCs w:val="1"/>
                <w:color w:val="auto"/>
                <w:w w:val="99"/>
              </w:rPr>
              <w:t>Capitalized</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Depreciable</w:t>
            </w: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Borders>
              <w:bottom w:val="single" w:sz="8" w:color="auto"/>
            </w:tcBorders>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0" w:type="dxa"/>
            <w:vAlign w:val="bottom"/>
            <w:gridSpan w:val="2"/>
          </w:tcPr>
          <w:p>
            <w:pPr>
              <w:jc w:val="center"/>
              <w:ind w:right="60"/>
              <w:spacing w:after="0" w:line="71" w:lineRule="exact"/>
              <w:rPr>
                <w:sz w:val="20"/>
                <w:szCs w:val="20"/>
                <w:color w:val="auto"/>
              </w:rPr>
            </w:pPr>
            <w:r>
              <w:rPr>
                <w:rFonts w:ascii="Arial" w:cs="Arial" w:eastAsia="Arial" w:hAnsi="Arial"/>
                <w:sz w:val="8"/>
                <w:szCs w:val="8"/>
                <w:b w:val="1"/>
                <w:bCs w:val="1"/>
                <w:color w:val="auto"/>
              </w:rPr>
              <w:t>Subsequent</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1" w:lineRule="exact"/>
              <w:rPr>
                <w:sz w:val="20"/>
                <w:szCs w:val="20"/>
                <w:color w:val="auto"/>
              </w:rPr>
            </w:pPr>
            <w:r>
              <w:rPr>
                <w:rFonts w:ascii="Arial" w:cs="Arial" w:eastAsia="Arial" w:hAnsi="Arial"/>
                <w:sz w:val="8"/>
                <w:szCs w:val="8"/>
                <w:b w:val="1"/>
                <w:bCs w:val="1"/>
                <w:color w:val="auto"/>
                <w:w w:val="98"/>
              </w:rPr>
              <w:t>and</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5"/>
                <w:szCs w:val="5"/>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Building</w:t>
            </w:r>
          </w:p>
        </w:tc>
        <w:tc>
          <w:tcPr>
            <w:tcW w:w="60" w:type="dxa"/>
            <w:vAlign w:val="bottom"/>
            <w:vMerge w:val="restart"/>
          </w:tcPr>
          <w:p>
            <w:pPr>
              <w:spacing w:after="0"/>
              <w:rPr>
                <w:sz w:val="5"/>
                <w:szCs w:val="5"/>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5"/>
                <w:szCs w:val="5"/>
                <w:b w:val="1"/>
                <w:bCs w:val="1"/>
                <w:color w:val="auto"/>
              </w:rPr>
              <w:t>to</w:t>
            </w:r>
          </w:p>
        </w:tc>
        <w:tc>
          <w:tcPr>
            <w:tcW w:w="620" w:type="dxa"/>
            <w:vAlign w:val="bottom"/>
          </w:tcPr>
          <w:p>
            <w:pPr>
              <w:jc w:val="right"/>
              <w:ind w:right="97"/>
              <w:spacing w:after="0"/>
              <w:rPr>
                <w:sz w:val="20"/>
                <w:szCs w:val="20"/>
                <w:color w:val="auto"/>
              </w:rPr>
            </w:pPr>
            <w:r>
              <w:rPr>
                <w:rFonts w:ascii="Arial" w:cs="Arial" w:eastAsia="Arial" w:hAnsi="Arial"/>
                <w:sz w:val="5"/>
                <w:szCs w:val="5"/>
                <w:b w:val="1"/>
                <w:bCs w:val="1"/>
                <w:color w:val="auto"/>
              </w:rPr>
              <w:t>Land and</w:t>
            </w:r>
          </w:p>
        </w:tc>
        <w:tc>
          <w:tcPr>
            <w:tcW w:w="160" w:type="dxa"/>
            <w:vAlign w:val="bottom"/>
          </w:tcPr>
          <w:p>
            <w:pPr>
              <w:spacing w:after="0"/>
              <w:rPr>
                <w:sz w:val="5"/>
                <w:szCs w:val="5"/>
                <w:color w:val="auto"/>
              </w:rPr>
            </w:pPr>
          </w:p>
        </w:tc>
        <w:tc>
          <w:tcPr>
            <w:tcW w:w="620" w:type="dxa"/>
            <w:vAlign w:val="bottom"/>
          </w:tcPr>
          <w:p>
            <w:pPr>
              <w:jc w:val="right"/>
              <w:ind w:right="17"/>
              <w:spacing w:after="0"/>
              <w:rPr>
                <w:sz w:val="20"/>
                <w:szCs w:val="20"/>
                <w:color w:val="auto"/>
              </w:rPr>
            </w:pPr>
            <w:r>
              <w:rPr>
                <w:rFonts w:ascii="Arial" w:cs="Arial" w:eastAsia="Arial" w:hAnsi="Arial"/>
                <w:sz w:val="5"/>
                <w:szCs w:val="5"/>
                <w:b w:val="1"/>
                <w:bCs w:val="1"/>
                <w:color w:val="auto"/>
              </w:rPr>
              <w:t>Building and</w:t>
            </w:r>
          </w:p>
        </w:tc>
        <w:tc>
          <w:tcPr>
            <w:tcW w:w="180" w:type="dxa"/>
            <w:vAlign w:val="bottom"/>
          </w:tcPr>
          <w:p>
            <w:pPr>
              <w:spacing w:after="0"/>
              <w:rPr>
                <w:sz w:val="5"/>
                <w:szCs w:val="5"/>
                <w:color w:val="auto"/>
              </w:rPr>
            </w:pPr>
          </w:p>
        </w:tc>
        <w:tc>
          <w:tcPr>
            <w:tcW w:w="560" w:type="dxa"/>
            <w:vAlign w:val="bottom"/>
          </w:tcPr>
          <w:p>
            <w:pPr>
              <w:jc w:val="right"/>
              <w:spacing w:after="0"/>
              <w:rPr>
                <w:sz w:val="20"/>
                <w:szCs w:val="20"/>
                <w:color w:val="auto"/>
              </w:rPr>
            </w:pPr>
            <w:r>
              <w:rPr>
                <w:rFonts w:ascii="Arial" w:cs="Arial" w:eastAsia="Arial" w:hAnsi="Arial"/>
                <w:sz w:val="5"/>
                <w:szCs w:val="5"/>
                <w:b w:val="1"/>
                <w:bCs w:val="1"/>
                <w:color w:val="auto"/>
              </w:rPr>
              <w:t>Land Held for</w:t>
            </w:r>
          </w:p>
        </w:tc>
        <w:tc>
          <w:tcPr>
            <w:tcW w:w="160" w:type="dxa"/>
            <w:vAlign w:val="bottom"/>
          </w:tcPr>
          <w:p>
            <w:pPr>
              <w:spacing w:after="0"/>
              <w:rPr>
                <w:sz w:val="5"/>
                <w:szCs w:val="5"/>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5"/>
                <w:szCs w:val="5"/>
                <w:b w:val="1"/>
                <w:bCs w:val="1"/>
                <w:color w:val="auto"/>
              </w:rPr>
              <w:t>Construction</w:t>
            </w: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jc w:val="right"/>
              <w:spacing w:after="0"/>
              <w:rPr>
                <w:sz w:val="20"/>
                <w:szCs w:val="20"/>
                <w:color w:val="auto"/>
              </w:rPr>
            </w:pPr>
            <w:r>
              <w:rPr>
                <w:rFonts w:ascii="Arial" w:cs="Arial" w:eastAsia="Arial" w:hAnsi="Arial"/>
                <w:sz w:val="5"/>
                <w:szCs w:val="5"/>
                <w:b w:val="1"/>
                <w:bCs w:val="1"/>
                <w:color w:val="auto"/>
              </w:rPr>
              <w:t>Accumulated</w:t>
            </w:r>
          </w:p>
        </w:tc>
        <w:tc>
          <w:tcPr>
            <w:tcW w:w="80" w:type="dxa"/>
            <w:vAlign w:val="bottom"/>
          </w:tcPr>
          <w:p>
            <w:pPr>
              <w:spacing w:after="0"/>
              <w:rPr>
                <w:sz w:val="5"/>
                <w:szCs w:val="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5"/>
                <w:szCs w:val="5"/>
                <w:b w:val="1"/>
                <w:bCs w:val="1"/>
                <w:color w:val="auto"/>
              </w:rPr>
              <w:t>Year(s)</w:t>
            </w:r>
          </w:p>
        </w:tc>
        <w:tc>
          <w:tcPr>
            <w:tcW w:w="540" w:type="dxa"/>
            <w:vAlign w:val="bottom"/>
            <w:gridSpan w:val="2"/>
          </w:tcPr>
          <w:p>
            <w:pPr>
              <w:ind w:left="100"/>
              <w:spacing w:after="0"/>
              <w:rPr>
                <w:sz w:val="20"/>
                <w:szCs w:val="20"/>
                <w:color w:val="auto"/>
              </w:rPr>
            </w:pPr>
            <w:r>
              <w:rPr>
                <w:rFonts w:ascii="Arial" w:cs="Arial" w:eastAsia="Arial" w:hAnsi="Arial"/>
                <w:sz w:val="5"/>
                <w:szCs w:val="5"/>
                <w:b w:val="1"/>
                <w:bCs w:val="1"/>
                <w:color w:val="auto"/>
              </w:rPr>
              <w:t>Year(s)</w:t>
            </w:r>
          </w:p>
        </w:tc>
        <w:tc>
          <w:tcPr>
            <w:tcW w:w="540" w:type="dxa"/>
            <w:vAlign w:val="bottom"/>
          </w:tcPr>
          <w:p>
            <w:pPr>
              <w:jc w:val="center"/>
              <w:spacing w:after="0"/>
              <w:rPr>
                <w:sz w:val="20"/>
                <w:szCs w:val="20"/>
                <w:color w:val="auto"/>
              </w:rPr>
            </w:pPr>
            <w:r>
              <w:rPr>
                <w:rFonts w:ascii="Arial" w:cs="Arial" w:eastAsia="Arial" w:hAnsi="Arial"/>
                <w:sz w:val="5"/>
                <w:szCs w:val="5"/>
                <w:b w:val="1"/>
                <w:bCs w:val="1"/>
                <w:color w:val="auto"/>
              </w:rPr>
              <w:t>Lives</w:t>
            </w:r>
          </w:p>
        </w:tc>
        <w:tc>
          <w:tcPr>
            <w:tcW w:w="0" w:type="dxa"/>
            <w:vAlign w:val="bottom"/>
          </w:tcPr>
          <w:p>
            <w:pPr>
              <w:spacing w:after="0"/>
              <w:rPr>
                <w:sz w:val="1"/>
                <w:szCs w:val="1"/>
                <w:color w:val="auto"/>
              </w:rPr>
            </w:pPr>
          </w:p>
        </w:tc>
      </w:tr>
      <w:tr>
        <w:trPr>
          <w:trHeight w:val="114"/>
        </w:trPr>
        <w:tc>
          <w:tcPr>
            <w:tcW w:w="760" w:type="dxa"/>
            <w:vAlign w:val="bottom"/>
            <w:tcBorders>
              <w:bottom w:val="single" w:sz="8" w:color="auto"/>
            </w:tcBorders>
          </w:tcPr>
          <w:p>
            <w:pPr>
              <w:ind w:left="100"/>
              <w:spacing w:after="0"/>
              <w:rPr>
                <w:sz w:val="20"/>
                <w:szCs w:val="20"/>
                <w:color w:val="auto"/>
              </w:rPr>
            </w:pPr>
            <w:r>
              <w:rPr>
                <w:rFonts w:ascii="Arial" w:cs="Arial" w:eastAsia="Arial" w:hAnsi="Arial"/>
                <w:sz w:val="8"/>
                <w:szCs w:val="8"/>
                <w:b w:val="1"/>
                <w:bCs w:val="1"/>
                <w:color w:val="auto"/>
              </w:rPr>
              <w:t>Property Name</w:t>
            </w:r>
          </w:p>
        </w:tc>
        <w:tc>
          <w:tcPr>
            <w:tcW w:w="80" w:type="dxa"/>
            <w:vAlign w:val="bottom"/>
          </w:tcPr>
          <w:p>
            <w:pPr>
              <w:spacing w:after="0"/>
              <w:rPr>
                <w:sz w:val="9"/>
                <w:szCs w:val="9"/>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8"/>
                <w:szCs w:val="8"/>
                <w:b w:val="1"/>
                <w:bCs w:val="1"/>
                <w:color w:val="auto"/>
              </w:rPr>
              <w:t>Type</w:t>
            </w:r>
          </w:p>
        </w:tc>
        <w:tc>
          <w:tcPr>
            <w:tcW w:w="80" w:type="dxa"/>
            <w:vAlign w:val="bottom"/>
          </w:tcPr>
          <w:p>
            <w:pPr>
              <w:spacing w:after="0"/>
              <w:rPr>
                <w:sz w:val="9"/>
                <w:szCs w:val="9"/>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8"/>
                <w:szCs w:val="8"/>
                <w:b w:val="1"/>
                <w:bCs w:val="1"/>
                <w:color w:val="auto"/>
              </w:rPr>
              <w:t>Location</w:t>
            </w:r>
          </w:p>
        </w:tc>
        <w:tc>
          <w:tcPr>
            <w:tcW w:w="60" w:type="dxa"/>
            <w:vAlign w:val="bottom"/>
          </w:tcPr>
          <w:p>
            <w:pPr>
              <w:spacing w:after="0"/>
              <w:rPr>
                <w:sz w:val="9"/>
                <w:szCs w:val="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Encumbrances</w:t>
            </w:r>
          </w:p>
        </w:tc>
        <w:tc>
          <w:tcPr>
            <w:tcW w:w="16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60" w:type="dxa"/>
            <w:vAlign w:val="bottom"/>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Improvements</w:t>
            </w:r>
          </w:p>
        </w:tc>
        <w:tc>
          <w:tcPr>
            <w:tcW w:w="160" w:type="dxa"/>
            <w:vAlign w:val="bottom"/>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Improvements</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9"/>
              </w:rPr>
              <w:t>Development</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ind w:right="17"/>
              <w:spacing w:after="0"/>
              <w:rPr>
                <w:sz w:val="20"/>
                <w:szCs w:val="20"/>
                <w:color w:val="auto"/>
              </w:rPr>
            </w:pPr>
            <w:r>
              <w:rPr>
                <w:rFonts w:ascii="Arial" w:cs="Arial" w:eastAsia="Arial" w:hAnsi="Arial"/>
                <w:sz w:val="8"/>
                <w:szCs w:val="8"/>
                <w:b w:val="1"/>
                <w:bCs w:val="1"/>
                <w:color w:val="auto"/>
                <w:w w:val="99"/>
              </w:rPr>
              <w:t>in Progress</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9"/>
                <w:szCs w:val="9"/>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Built/Renovated</w:t>
            </w:r>
          </w:p>
        </w:tc>
        <w:tc>
          <w:tcPr>
            <w:tcW w:w="80" w:type="dxa"/>
            <w:vAlign w:val="bottom"/>
          </w:tcPr>
          <w:p>
            <w:pPr>
              <w:spacing w:after="0"/>
              <w:rPr>
                <w:sz w:val="9"/>
                <w:szCs w:val="9"/>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8"/>
                <w:szCs w:val="8"/>
                <w:b w:val="1"/>
                <w:bCs w:val="1"/>
                <w:color w:val="auto"/>
              </w:rPr>
              <w:t>Acquired</w:t>
            </w:r>
          </w:p>
        </w:tc>
        <w:tc>
          <w:tcPr>
            <w:tcW w:w="80" w:type="dxa"/>
            <w:vAlign w:val="bottom"/>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(Years)</w:t>
            </w:r>
          </w:p>
        </w:tc>
        <w:tc>
          <w:tcPr>
            <w:tcW w:w="0" w:type="dxa"/>
            <w:vAlign w:val="bottom"/>
          </w:tcPr>
          <w:p>
            <w:pPr>
              <w:spacing w:after="0"/>
              <w:rPr>
                <w:sz w:val="1"/>
                <w:szCs w:val="1"/>
                <w:color w:val="auto"/>
              </w:rPr>
            </w:pPr>
          </w:p>
        </w:tc>
      </w:tr>
      <w:tr>
        <w:trPr>
          <w:trHeight w:val="122"/>
        </w:trPr>
        <w:tc>
          <w:tcPr>
            <w:tcW w:w="840" w:type="dxa"/>
            <w:vAlign w:val="bottom"/>
            <w:gridSpan w:val="2"/>
          </w:tcPr>
          <w:p>
            <w:pPr>
              <w:spacing w:after="0"/>
              <w:rPr>
                <w:sz w:val="20"/>
                <w:szCs w:val="20"/>
                <w:color w:val="auto"/>
              </w:rPr>
            </w:pPr>
            <w:r>
              <w:rPr>
                <w:rFonts w:ascii="Arial" w:cs="Arial" w:eastAsia="Arial" w:hAnsi="Arial"/>
                <w:sz w:val="9"/>
                <w:szCs w:val="9"/>
                <w:color w:val="auto"/>
              </w:rPr>
              <w:t>Avant Retail</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1,499</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6,647</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2,577</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1,499</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9,224</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10,723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3,210</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2014</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2010</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92-100 Hayden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594</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6,748</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778</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8,861</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9,639</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7,507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32 Hartwell</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168</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1,943</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6,944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314</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8,741</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9,055</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3,103</w:t>
            </w:r>
          </w:p>
        </w:tc>
        <w:tc>
          <w:tcPr>
            <w:tcW w:w="720" w:type="dxa"/>
            <w:vAlign w:val="bottom"/>
            <w:gridSpan w:val="2"/>
          </w:tcPr>
          <w:p>
            <w:pPr>
              <w:jc w:val="center"/>
              <w:ind w:left="37"/>
              <w:spacing w:after="0"/>
              <w:rPr>
                <w:sz w:val="20"/>
                <w:szCs w:val="20"/>
                <w:color w:val="auto"/>
              </w:rPr>
            </w:pPr>
            <w:r>
              <w:rPr>
                <w:rFonts w:ascii="Arial" w:cs="Arial" w:eastAsia="Arial" w:hAnsi="Arial"/>
                <w:sz w:val="9"/>
                <w:szCs w:val="9"/>
                <w:color w:val="auto"/>
                <w:w w:val="98"/>
              </w:rPr>
              <w:t>1968/1979/1987</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5"/>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250 Binney Street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4,483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3,593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7,913</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8,186</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6,974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453 Ravendale</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Drive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Mountain View, CA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5,477</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1,090</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677</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5,477</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1,767</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7,244</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964</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1977</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2012</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17 Hartwell</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150</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6,064</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6,175</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6,240</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3,530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1968</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6"/>
        </w:trPr>
        <w:tc>
          <w:tcPr>
            <w:tcW w:w="840" w:type="dxa"/>
            <w:vAlign w:val="bottom"/>
            <w:gridSpan w:val="2"/>
          </w:tcPr>
          <w:p>
            <w:pPr>
              <w:spacing w:after="0"/>
              <w:rPr>
                <w:sz w:val="20"/>
                <w:szCs w:val="20"/>
                <w:color w:val="auto"/>
              </w:rPr>
            </w:pPr>
            <w:r>
              <w:rPr>
                <w:rFonts w:ascii="Arial" w:cs="Arial" w:eastAsia="Arial" w:hAnsi="Arial"/>
                <w:sz w:val="9"/>
                <w:szCs w:val="9"/>
                <w:color w:val="auto"/>
              </w:rPr>
              <w:t>The Skylyne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Residential</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Oakland, CA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28,962</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239,077</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1,784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28,962</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240,861</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269,823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14,154</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Signature at</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Residential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27,076</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190,580</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1,667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27,076</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192,247</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219,323</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Proto Kendall</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Square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Residential</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9,243</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127,248</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3,336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9,245</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130,582</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139,827</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14,508</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2018</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2015</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The Lofts at</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Atlantic Wharf</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Residential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54,891</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2,356</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57,247</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60,776</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Boston Marriott</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Cambridge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Hotel</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478</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37,918</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32,837</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1,201</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69,521</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511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71,233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51,568</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1986/2017</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Kendall Center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Green Garage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Garage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35,035</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6,798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103</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41,730</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41,833</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Kendall Center</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Yellow Garage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Garage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1,256</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15,697</w:t>
            </w:r>
          </w:p>
        </w:tc>
        <w:tc>
          <w:tcPr>
            <w:tcW w:w="6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1,653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1,434</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17,172</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18,606</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7,395</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2006</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Kendall Center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Blue Garage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Garage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1,163</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11,633</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2,111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1,579</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13,328</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14,907</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2100 Pennsylvania</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Development</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472,873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185,203</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230,497</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57,173</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472,873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9,755</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190 CityPoint</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(formerly 180</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CityPoint)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Development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140,370</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140,370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140,370</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840" w:type="dxa"/>
            <w:vAlign w:val="bottom"/>
            <w:gridSpan w:val="2"/>
          </w:tcPr>
          <w:p>
            <w:pPr>
              <w:spacing w:after="0"/>
              <w:rPr>
                <w:sz w:val="20"/>
                <w:szCs w:val="20"/>
                <w:color w:val="auto"/>
              </w:rPr>
            </w:pPr>
            <w:r>
              <w:rPr>
                <w:rFonts w:ascii="Arial" w:cs="Arial" w:eastAsia="Arial" w:hAnsi="Arial"/>
                <w:sz w:val="9"/>
                <w:szCs w:val="9"/>
                <w:color w:val="auto"/>
              </w:rPr>
              <w:t>103 CityPoint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Development</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44,752</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74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44,678</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44,752</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 Next Office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Phase II</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Development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22,954</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22,954</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22,954</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840" w:type="dxa"/>
            <w:vAlign w:val="bottom"/>
            <w:gridSpan w:val="2"/>
          </w:tcPr>
          <w:p>
            <w:pPr>
              <w:spacing w:after="0"/>
              <w:rPr>
                <w:sz w:val="20"/>
                <w:szCs w:val="20"/>
                <w:color w:val="auto"/>
              </w:rPr>
            </w:pPr>
            <w:r>
              <w:rPr>
                <w:rFonts w:ascii="Arial" w:cs="Arial" w:eastAsia="Arial" w:hAnsi="Arial"/>
                <w:sz w:val="9"/>
                <w:szCs w:val="9"/>
                <w:color w:val="auto"/>
              </w:rPr>
              <w:t>Reston Next Retail</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Development</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3,199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3,199</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3,199</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1998</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777 Harrison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San Francisco, CA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144,647</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28,239</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172,839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172,886</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Kendall Center</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148,476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148,476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148,476</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Back Bay Station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72,957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72,957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72,957</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760" w:type="dxa"/>
            <w:vAlign w:val="bottom"/>
          </w:tcPr>
          <w:p>
            <w:pPr>
              <w:spacing w:after="0" w:line="99" w:lineRule="exact"/>
              <w:rPr>
                <w:sz w:val="20"/>
                <w:szCs w:val="20"/>
                <w:color w:val="auto"/>
              </w:rPr>
            </w:pPr>
            <w:r>
              <w:rPr>
                <w:rFonts w:ascii="Arial" w:cs="Arial" w:eastAsia="Arial" w:hAnsi="Arial"/>
                <w:sz w:val="9"/>
                <w:szCs w:val="9"/>
                <w:color w:val="auto"/>
              </w:rPr>
              <w:t>3625-3635</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Peterson Way</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Santa Clara, CA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63,206</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5,165</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68,371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68,371</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2016</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North First Master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San Jose, CA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35,004</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3,968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38,972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38,972</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840" w:type="dxa"/>
            <w:vAlign w:val="bottom"/>
            <w:gridSpan w:val="2"/>
          </w:tcPr>
          <w:p>
            <w:pPr>
              <w:spacing w:after="0"/>
              <w:rPr>
                <w:sz w:val="20"/>
                <w:szCs w:val="20"/>
                <w:color w:val="auto"/>
              </w:rPr>
            </w:pPr>
            <w:r>
              <w:rPr>
                <w:rFonts w:ascii="Arial" w:cs="Arial" w:eastAsia="Arial" w:hAnsi="Arial"/>
                <w:sz w:val="9"/>
                <w:szCs w:val="9"/>
                <w:color w:val="auto"/>
              </w:rPr>
              <w:t>Plaza at Almaden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San Jose, CA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38,090</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38,090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38,090</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2006</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Springfield Metro</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Springfield,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19,891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19,891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19,891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CityPoint South</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19,693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19,693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19,693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 Gateway</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12,734</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12,734</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840" w:type="dxa"/>
            <w:vAlign w:val="bottom"/>
            <w:gridSpan w:val="2"/>
          </w:tcPr>
          <w:p>
            <w:pPr>
              <w:spacing w:after="0"/>
              <w:rPr>
                <w:sz w:val="20"/>
                <w:szCs w:val="20"/>
                <w:color w:val="auto"/>
              </w:rPr>
            </w:pPr>
            <w:r>
              <w:rPr>
                <w:rFonts w:ascii="Arial" w:cs="Arial" w:eastAsia="Arial" w:hAnsi="Arial"/>
                <w:sz w:val="9"/>
                <w:szCs w:val="9"/>
                <w:color w:val="auto"/>
              </w:rPr>
              <w:t>Weston Quarry</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Weston, MA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1,249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1,249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1,249</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2001</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04"/>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Broad Run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Business Park</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6"/>
              </w:rPr>
              <w:t>Loudoun County,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1,184</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1,184</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40" w:type="dxa"/>
            <w:vAlign w:val="bottom"/>
            <w:gridSpan w:val="2"/>
          </w:tcPr>
          <w:p>
            <w:pPr>
              <w:spacing w:after="0" w:line="99" w:lineRule="exact"/>
              <w:rPr>
                <w:sz w:val="20"/>
                <w:szCs w:val="20"/>
                <w:color w:val="auto"/>
              </w:rPr>
            </w:pPr>
            <w:r>
              <w:rPr>
                <w:rFonts w:ascii="Arial" w:cs="Arial" w:eastAsia="Arial" w:hAnsi="Arial"/>
                <w:sz w:val="9"/>
                <w:szCs w:val="9"/>
                <w:color w:val="auto"/>
              </w:rPr>
              <w:t>Reston Overlook</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gridSpan w:val="2"/>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80</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80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80</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ind w:left="4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52"/>
        </w:trPr>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9"/>
                <w:szCs w:val="9"/>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3,272,368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$ 5,373,987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w w:val="95"/>
              </w:rPr>
              <w:t>$ 14,755,092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w w:val="96"/>
              </w:rPr>
              <w:t>$ 5,615,135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5,571,327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19,044,812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721,501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406,574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$ 25,744,214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6,260,992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 w:hanging="355"/>
        <w:spacing w:after="0" w:line="236" w:lineRule="auto"/>
        <w:rPr>
          <w:sz w:val="20"/>
          <w:szCs w:val="20"/>
          <w:color w:val="auto"/>
        </w:rPr>
      </w:pPr>
      <w:r>
        <w:rPr>
          <w:rFonts w:ascii="Arial" w:cs="Arial" w:eastAsia="Arial" w:hAnsi="Arial"/>
          <w:sz w:val="13"/>
          <w:szCs w:val="13"/>
          <w:color w:val="auto"/>
        </w:rPr>
        <w:t>Note: Total Real Estate does not include Furniture, Fixtures and Equipment totaling approximately $50,310. Accumulated Depreciation does not include approximately $37,090 of accumulated depreciation related to Furniture, Fixtures and Equipment. Office type includes office, life sciences, and retail properties.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aggregate cost and accumulated depreciation for tax purposes was approximately $23.1 billion and $5.0 billion, respectively.</w:t>
      </w:r>
    </w:p>
    <w:p>
      <w:pPr>
        <w:spacing w:after="0" w:line="151" w:lineRule="exact"/>
        <w:rPr>
          <w:sz w:val="20"/>
          <w:szCs w:val="20"/>
          <w:color w:val="auto"/>
        </w:rPr>
      </w:pPr>
    </w:p>
    <w:p>
      <w:pPr>
        <w:ind w:left="480" w:hanging="343"/>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Depreciation of the buildings and improvements are calculated over lives ranging from the life of the lease to 40 years.</w:t>
      </w:r>
    </w:p>
    <w:p>
      <w:pPr>
        <w:ind w:left="480" w:hanging="343"/>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Includes unamortized deferred financing costs totaling approximately $27,632.</w:t>
      </w:r>
    </w:p>
    <w:p>
      <w:pPr>
        <w:spacing w:after="0" w:line="4" w:lineRule="exact"/>
        <w:rPr>
          <w:rFonts w:ascii="Arial" w:cs="Arial" w:eastAsia="Arial" w:hAnsi="Arial"/>
          <w:sz w:val="13"/>
          <w:szCs w:val="13"/>
          <w:color w:val="auto"/>
        </w:rPr>
      </w:pPr>
    </w:p>
    <w:p>
      <w:pPr>
        <w:ind w:left="480" w:hanging="343"/>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Includes Right of Use Assets - Finance Leases and Right of Use Assets - Operating Leases of approximately $214,165 and $167,351, respectively.</w:t>
      </w:r>
    </w:p>
    <w:p>
      <w:pPr>
        <w:spacing w:after="0" w:line="4" w:lineRule="exact"/>
        <w:rPr>
          <w:rFonts w:ascii="Arial" w:cs="Arial" w:eastAsia="Arial" w:hAnsi="Arial"/>
          <w:sz w:val="13"/>
          <w:szCs w:val="13"/>
          <w:color w:val="auto"/>
        </w:rPr>
      </w:pPr>
    </w:p>
    <w:p>
      <w:pPr>
        <w:ind w:left="480" w:hanging="343"/>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Includes Right of Use Assets - Finance Leases of approximately $23,345.</w:t>
      </w:r>
    </w:p>
    <w:p>
      <w:pPr>
        <w:spacing w:after="0" w:line="4" w:lineRule="exact"/>
        <w:rPr>
          <w:rFonts w:ascii="Arial" w:cs="Arial" w:eastAsia="Arial" w:hAnsi="Arial"/>
          <w:sz w:val="13"/>
          <w:szCs w:val="13"/>
          <w:color w:val="auto"/>
        </w:rPr>
      </w:pPr>
    </w:p>
    <w:p>
      <w:pPr>
        <w:ind w:left="480" w:hanging="343"/>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Includes pre-development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780"/>
          </w:cols>
          <w:pgMar w:left="320" w:top="281" w:right="79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Boston Properties,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Real Estate and Accumulated Depreciation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December 31, 2022, 2021 and 2020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thousands)</w:t>
      </w:r>
    </w:p>
    <w:p>
      <w:pPr>
        <w:spacing w:after="0" w:line="3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activity for real estate and accumulated depreciation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00" w:type="dxa"/>
            <w:vAlign w:val="bottom"/>
          </w:tcPr>
          <w:p>
            <w:pPr>
              <w:ind w:left="300"/>
              <w:spacing w:after="0"/>
              <w:rPr>
                <w:sz w:val="20"/>
                <w:szCs w:val="20"/>
                <w:color w:val="auto"/>
              </w:rPr>
            </w:pPr>
            <w:r>
              <w:rPr>
                <w:rFonts w:ascii="Arial" w:cs="Arial" w:eastAsia="Arial" w:hAnsi="Arial"/>
                <w:sz w:val="16"/>
                <w:szCs w:val="16"/>
                <w:color w:val="auto"/>
              </w:rPr>
              <w:t>Balance at the beginning of the year</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24,108,220</w:t>
            </w:r>
          </w:p>
        </w:tc>
        <w:tc>
          <w:tcPr>
            <w:tcW w:w="100" w:type="dxa"/>
            <w:vAlign w:val="bottom"/>
          </w:tcPr>
          <w:p>
            <w:pPr>
              <w:spacing w:after="0"/>
              <w:rPr>
                <w:sz w:val="17"/>
                <w:szCs w:val="17"/>
                <w:color w:val="auto"/>
              </w:rPr>
            </w:pP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23,303,303</w:t>
            </w:r>
          </w:p>
        </w:tc>
        <w:tc>
          <w:tcPr>
            <w:tcW w:w="10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22,844,697</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Additions to/improvements of real estate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2,228,000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1,145,084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996,989</w:t>
            </w:r>
          </w:p>
        </w:tc>
        <w:tc>
          <w:tcPr>
            <w:tcW w:w="0" w:type="dxa"/>
            <w:vAlign w:val="bottom"/>
          </w:tcPr>
          <w:p>
            <w:pPr>
              <w:spacing w:after="0"/>
              <w:rPr>
                <w:sz w:val="1"/>
                <w:szCs w:val="1"/>
                <w:color w:val="auto"/>
              </w:rPr>
            </w:pPr>
          </w:p>
        </w:tc>
      </w:tr>
      <w:tr>
        <w:trPr>
          <w:trHeight w:val="201"/>
        </w:trPr>
        <w:tc>
          <w:tcPr>
            <w:tcW w:w="5800" w:type="dxa"/>
            <w:vAlign w:val="bottom"/>
            <w:tcBorders>
              <w:bottom w:val="single" w:sz="8" w:color="CCEEFF"/>
            </w:tcBorders>
          </w:tcPr>
          <w:p>
            <w:pPr>
              <w:jc w:val="center"/>
              <w:ind w:right="3021"/>
              <w:spacing w:after="0"/>
              <w:rPr>
                <w:sz w:val="20"/>
                <w:szCs w:val="20"/>
                <w:color w:val="auto"/>
              </w:rPr>
            </w:pPr>
            <w:r>
              <w:rPr>
                <w:rFonts w:ascii="Arial" w:cs="Arial" w:eastAsia="Arial" w:hAnsi="Arial"/>
                <w:sz w:val="16"/>
                <w:szCs w:val="16"/>
                <w:color w:val="auto"/>
                <w:w w:val="98"/>
              </w:rPr>
              <w:t>Assets sold/written-off</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(592,006)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(340,167)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(538,383)</w:t>
            </w:r>
          </w:p>
        </w:tc>
        <w:tc>
          <w:tcPr>
            <w:tcW w:w="0" w:type="dxa"/>
            <w:vAlign w:val="bottom"/>
          </w:tcPr>
          <w:p>
            <w:pPr>
              <w:spacing w:after="0"/>
              <w:rPr>
                <w:sz w:val="1"/>
                <w:szCs w:val="1"/>
                <w:color w:val="auto"/>
              </w:rPr>
            </w:pPr>
          </w:p>
        </w:tc>
      </w:tr>
      <w:tr>
        <w:trPr>
          <w:trHeight w:val="218"/>
        </w:trPr>
        <w:tc>
          <w:tcPr>
            <w:tcW w:w="5800" w:type="dxa"/>
            <w:vAlign w:val="bottom"/>
            <w:tcBorders>
              <w:bottom w:val="single" w:sz="8" w:color="CCEEFF"/>
            </w:tcBorders>
            <w:shd w:val="clear" w:color="auto" w:fill="CCEEFF"/>
          </w:tcPr>
          <w:p>
            <w:pPr>
              <w:jc w:val="center"/>
              <w:ind w:right="3021"/>
              <w:spacing w:after="0" w:line="181" w:lineRule="exact"/>
              <w:rPr>
                <w:sz w:val="20"/>
                <w:szCs w:val="20"/>
                <w:color w:val="auto"/>
              </w:rPr>
            </w:pPr>
            <w:r>
              <w:rPr>
                <w:rFonts w:ascii="Arial" w:cs="Arial" w:eastAsia="Arial" w:hAnsi="Arial"/>
                <w:sz w:val="16"/>
                <w:szCs w:val="16"/>
                <w:color w:val="auto"/>
                <w:w w:val="98"/>
              </w:rPr>
              <w:t>Balance at the end of the year</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25,744,214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24,108,220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23,303,303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Accumulated Depreciation: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Balance at the beginning of the year</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5,848,183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5,501,637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5,239,179</w:t>
            </w:r>
          </w:p>
        </w:tc>
        <w:tc>
          <w:tcPr>
            <w:tcW w:w="0" w:type="dxa"/>
            <w:vAlign w:val="bottom"/>
          </w:tcPr>
          <w:p>
            <w:pPr>
              <w:spacing w:after="0"/>
              <w:rPr>
                <w:sz w:val="1"/>
                <w:szCs w:val="1"/>
                <w:color w:val="auto"/>
              </w:rPr>
            </w:pPr>
          </w:p>
        </w:tc>
      </w:tr>
      <w:tr>
        <w:trPr>
          <w:trHeight w:val="201"/>
        </w:trPr>
        <w:tc>
          <w:tcPr>
            <w:tcW w:w="5800" w:type="dxa"/>
            <w:vAlign w:val="bottom"/>
          </w:tcPr>
          <w:p>
            <w:pPr>
              <w:jc w:val="center"/>
              <w:ind w:right="3041"/>
              <w:spacing w:after="0"/>
              <w:rPr>
                <w:sz w:val="20"/>
                <w:szCs w:val="20"/>
                <w:color w:val="auto"/>
              </w:rPr>
            </w:pPr>
            <w:r>
              <w:rPr>
                <w:rFonts w:ascii="Arial" w:cs="Arial" w:eastAsia="Arial" w:hAnsi="Arial"/>
                <w:sz w:val="16"/>
                <w:szCs w:val="16"/>
                <w:color w:val="auto"/>
                <w:w w:val="98"/>
              </w:rPr>
              <w:t>Depreciation expense</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646,020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623,854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573,898</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jc w:val="center"/>
              <w:ind w:right="3021"/>
              <w:spacing w:after="0"/>
              <w:rPr>
                <w:sz w:val="20"/>
                <w:szCs w:val="20"/>
                <w:color w:val="auto"/>
              </w:rPr>
            </w:pPr>
            <w:r>
              <w:rPr>
                <w:rFonts w:ascii="Arial" w:cs="Arial" w:eastAsia="Arial" w:hAnsi="Arial"/>
                <w:sz w:val="16"/>
                <w:szCs w:val="16"/>
                <w:color w:val="auto"/>
                <w:w w:val="98"/>
              </w:rPr>
              <w:t>Assets sold/written-off</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(233,211)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(277,308)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(311,440)</w:t>
            </w:r>
          </w:p>
        </w:tc>
        <w:tc>
          <w:tcPr>
            <w:tcW w:w="0" w:type="dxa"/>
            <w:vAlign w:val="bottom"/>
          </w:tcPr>
          <w:p>
            <w:pPr>
              <w:spacing w:after="0"/>
              <w:rPr>
                <w:sz w:val="1"/>
                <w:szCs w:val="1"/>
                <w:color w:val="auto"/>
              </w:rPr>
            </w:pPr>
          </w:p>
        </w:tc>
      </w:tr>
      <w:tr>
        <w:trPr>
          <w:trHeight w:val="193"/>
        </w:trPr>
        <w:tc>
          <w:tcPr>
            <w:tcW w:w="5800" w:type="dxa"/>
            <w:vAlign w:val="bottom"/>
          </w:tcPr>
          <w:p>
            <w:pPr>
              <w:jc w:val="center"/>
              <w:ind w:right="3021"/>
              <w:spacing w:after="0" w:line="180" w:lineRule="exact"/>
              <w:rPr>
                <w:sz w:val="20"/>
                <w:szCs w:val="20"/>
                <w:color w:val="auto"/>
              </w:rPr>
            </w:pPr>
            <w:r>
              <w:rPr>
                <w:rFonts w:ascii="Arial" w:cs="Arial" w:eastAsia="Arial" w:hAnsi="Arial"/>
                <w:sz w:val="16"/>
                <w:szCs w:val="16"/>
                <w:color w:val="auto"/>
                <w:w w:val="98"/>
              </w:rPr>
              <w:t>Balance at the end of the year</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6,260,992</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5,848,183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5,501,637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Note: Real Estate and Accumulated Depreciation amounts do not include Furniture, Fixtures and Equipment.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216"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01" w:lineRule="auto"/>
        <w:rPr>
          <w:sz w:val="20"/>
          <w:szCs w:val="20"/>
          <w:color w:val="auto"/>
        </w:rPr>
      </w:pPr>
      <w:r>
        <w:rPr>
          <w:rFonts w:ascii="Arial" w:cs="Arial" w:eastAsia="Arial" w:hAnsi="Arial"/>
          <w:sz w:val="16"/>
          <w:szCs w:val="16"/>
          <w:b w:val="1"/>
          <w:bCs w:val="1"/>
          <w:color w:val="auto"/>
        </w:rPr>
        <w:t>December 31, 2022</w:t>
      </w: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5"/>
              </w:rPr>
              <w:t>Costs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3"/>
            <w:vMerge w:val="restart"/>
          </w:tcPr>
          <w:p>
            <w:pPr>
              <w:jc w:val="right"/>
              <w:ind w:right="337"/>
              <w:spacing w:after="0"/>
              <w:rPr>
                <w:sz w:val="20"/>
                <w:szCs w:val="20"/>
                <w:color w:val="auto"/>
              </w:rPr>
            </w:pPr>
            <w:r>
              <w:rPr>
                <w:rFonts w:ascii="Arial" w:cs="Arial" w:eastAsia="Arial" w:hAnsi="Arial"/>
                <w:sz w:val="9"/>
                <w:szCs w:val="9"/>
                <w:b w:val="1"/>
                <w:bCs w:val="1"/>
                <w:color w:val="auto"/>
              </w:rPr>
              <w:t>Original</w:t>
            </w:r>
          </w:p>
        </w:tc>
        <w:tc>
          <w:tcPr>
            <w:tcW w:w="60" w:type="dxa"/>
            <w:vAlign w:val="bottom"/>
          </w:tcPr>
          <w:p>
            <w:pPr>
              <w:spacing w:after="0"/>
              <w:rPr>
                <w:sz w:val="8"/>
                <w:szCs w:val="8"/>
                <w:color w:val="auto"/>
              </w:rPr>
            </w:pPr>
          </w:p>
        </w:tc>
        <w:tc>
          <w:tcPr>
            <w:tcW w:w="6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96"/>
              </w:rPr>
              <w:t>Capitalized</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95"/>
              </w:rPr>
              <w:t>Development</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Borders>
              <w:bottom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tcPr>
          <w:p>
            <w:pPr>
              <w:jc w:val="center"/>
              <w:ind w:right="60"/>
              <w:spacing w:after="0" w:line="63" w:lineRule="exact"/>
              <w:rPr>
                <w:sz w:val="20"/>
                <w:szCs w:val="20"/>
                <w:color w:val="auto"/>
              </w:rPr>
            </w:pPr>
            <w:r>
              <w:rPr>
                <w:rFonts w:ascii="Arial" w:cs="Arial" w:eastAsia="Arial" w:hAnsi="Arial"/>
                <w:sz w:val="7"/>
                <w:szCs w:val="7"/>
                <w:b w:val="1"/>
                <w:bCs w:val="1"/>
                <w:color w:val="auto"/>
              </w:rPr>
              <w:t>Subsequent</w:t>
            </w: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tcPr>
          <w:p>
            <w:pPr>
              <w:jc w:val="center"/>
              <w:ind w:right="120"/>
              <w:spacing w:after="0" w:line="63" w:lineRule="exact"/>
              <w:rPr>
                <w:sz w:val="20"/>
                <w:szCs w:val="20"/>
                <w:color w:val="auto"/>
              </w:rPr>
            </w:pPr>
            <w:r>
              <w:rPr>
                <w:rFonts w:ascii="Arial" w:cs="Arial" w:eastAsia="Arial" w:hAnsi="Arial"/>
                <w:sz w:val="7"/>
                <w:szCs w:val="7"/>
                <w:b w:val="1"/>
                <w:bCs w:val="1"/>
                <w:color w:val="auto"/>
              </w:rPr>
              <w:t>Land Held</w:t>
            </w:r>
          </w:p>
        </w:tc>
        <w:tc>
          <w:tcPr>
            <w:tcW w:w="140" w:type="dxa"/>
            <w:vAlign w:val="bottom"/>
          </w:tcPr>
          <w:p>
            <w:pPr>
              <w:spacing w:after="0"/>
              <w:rPr>
                <w:sz w:val="5"/>
                <w:szCs w:val="5"/>
                <w:color w:val="auto"/>
              </w:rPr>
            </w:pPr>
          </w:p>
        </w:tc>
        <w:tc>
          <w:tcPr>
            <w:tcW w:w="520" w:type="dxa"/>
            <w:vAlign w:val="bottom"/>
            <w:gridSpan w:val="2"/>
          </w:tcPr>
          <w:p>
            <w:pPr>
              <w:jc w:val="center"/>
              <w:ind w:right="200"/>
              <w:spacing w:after="0" w:line="63" w:lineRule="exact"/>
              <w:rPr>
                <w:sz w:val="20"/>
                <w:szCs w:val="20"/>
                <w:color w:val="auto"/>
              </w:rPr>
            </w:pPr>
            <w:r>
              <w:rPr>
                <w:rFonts w:ascii="Arial" w:cs="Arial" w:eastAsia="Arial" w:hAnsi="Arial"/>
                <w:sz w:val="7"/>
                <w:szCs w:val="7"/>
                <w:b w:val="1"/>
                <w:bCs w:val="1"/>
                <w:color w:val="auto"/>
              </w:rPr>
              <w:t>and</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Depreciable</w:t>
            </w:r>
          </w:p>
        </w:tc>
        <w:tc>
          <w:tcPr>
            <w:tcW w:w="0" w:type="dxa"/>
            <w:vAlign w:val="bottom"/>
          </w:tcPr>
          <w:p>
            <w:pPr>
              <w:spacing w:after="0"/>
              <w:rPr>
                <w:sz w:val="1"/>
                <w:szCs w:val="1"/>
                <w:color w:val="auto"/>
              </w:rPr>
            </w:pPr>
          </w:p>
        </w:tc>
      </w:tr>
      <w:tr>
        <w:trPr>
          <w:trHeight w:val="91"/>
        </w:trPr>
        <w:tc>
          <w:tcPr>
            <w:tcW w:w="620" w:type="dxa"/>
            <w:vAlign w:val="bottom"/>
            <w:gridSpan w:val="2"/>
          </w:tcPr>
          <w:p>
            <w:pPr>
              <w:ind w:left="100"/>
              <w:spacing w:after="0" w:line="92" w:lineRule="exact"/>
              <w:rPr>
                <w:sz w:val="20"/>
                <w:szCs w:val="20"/>
                <w:color w:val="auto"/>
              </w:rPr>
            </w:pPr>
            <w:r>
              <w:rPr>
                <w:rFonts w:ascii="Arial" w:cs="Arial" w:eastAsia="Arial" w:hAnsi="Arial"/>
                <w:sz w:val="9"/>
                <w:szCs w:val="9"/>
                <w:b w:val="1"/>
                <w:bCs w:val="1"/>
                <w:color w:val="auto"/>
              </w:rPr>
              <w:t>Property</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rPr>
              <w:t>Type</w:t>
            </w:r>
          </w:p>
        </w:tc>
        <w:tc>
          <w:tcPr>
            <w:tcW w:w="60" w:type="dxa"/>
            <w:vAlign w:val="bottom"/>
            <w:vMerge w:val="restart"/>
          </w:tcPr>
          <w:p>
            <w:pPr>
              <w:spacing w:after="0"/>
              <w:rPr>
                <w:sz w:val="7"/>
                <w:szCs w:val="7"/>
                <w:color w:val="auto"/>
              </w:rPr>
            </w:pPr>
          </w:p>
        </w:tc>
        <w:tc>
          <w:tcPr>
            <w:tcW w:w="78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Location</w:t>
            </w:r>
          </w:p>
        </w:tc>
        <w:tc>
          <w:tcPr>
            <w:tcW w:w="60" w:type="dxa"/>
            <w:vAlign w:val="bottom"/>
            <w:vMerge w:val="restart"/>
          </w:tcPr>
          <w:p>
            <w:pPr>
              <w:spacing w:after="0"/>
              <w:rPr>
                <w:sz w:val="7"/>
                <w:szCs w:val="7"/>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9"/>
              </w:rPr>
              <w:t>Encumbrances</w:t>
            </w:r>
          </w:p>
        </w:tc>
        <w:tc>
          <w:tcPr>
            <w:tcW w:w="60" w:type="dxa"/>
            <w:vAlign w:val="bottom"/>
            <w:vMerge w:val="restart"/>
          </w:tcPr>
          <w:p>
            <w:pPr>
              <w:spacing w:after="0"/>
              <w:rPr>
                <w:sz w:val="7"/>
                <w:szCs w:val="7"/>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60" w:type="dxa"/>
            <w:vAlign w:val="bottom"/>
            <w:vMerge w:val="restart"/>
          </w:tcPr>
          <w:p>
            <w:pPr>
              <w:spacing w:after="0"/>
              <w:rPr>
                <w:sz w:val="7"/>
                <w:szCs w:val="7"/>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60" w:type="dxa"/>
            <w:vAlign w:val="bottom"/>
          </w:tcPr>
          <w:p>
            <w:pPr>
              <w:spacing w:after="0"/>
              <w:rPr>
                <w:sz w:val="7"/>
                <w:szCs w:val="7"/>
                <w:color w:val="auto"/>
              </w:rPr>
            </w:pPr>
          </w:p>
        </w:tc>
        <w:tc>
          <w:tcPr>
            <w:tcW w:w="600" w:type="dxa"/>
            <w:vAlign w:val="bottom"/>
            <w:gridSpan w:val="2"/>
          </w:tcPr>
          <w:p>
            <w:pPr>
              <w:jc w:val="center"/>
              <w:ind w:right="60"/>
              <w:spacing w:after="0" w:line="92" w:lineRule="exact"/>
              <w:rPr>
                <w:sz w:val="20"/>
                <w:szCs w:val="20"/>
                <w:color w:val="auto"/>
              </w:rPr>
            </w:pPr>
            <w:r>
              <w:rPr>
                <w:rFonts w:ascii="Arial" w:cs="Arial" w:eastAsia="Arial" w:hAnsi="Arial"/>
                <w:sz w:val="9"/>
                <w:szCs w:val="9"/>
                <w:b w:val="1"/>
                <w:bCs w:val="1"/>
                <w:color w:val="auto"/>
              </w:rPr>
              <w:t>to</w:t>
            </w:r>
          </w:p>
        </w:tc>
        <w:tc>
          <w:tcPr>
            <w:tcW w:w="720" w:type="dxa"/>
            <w:vAlign w:val="bottom"/>
            <w:gridSpan w:val="2"/>
          </w:tcPr>
          <w:p>
            <w:pPr>
              <w:ind w:left="140"/>
              <w:spacing w:after="0" w:line="92" w:lineRule="exact"/>
              <w:rPr>
                <w:sz w:val="20"/>
                <w:szCs w:val="20"/>
                <w:color w:val="auto"/>
              </w:rPr>
            </w:pPr>
            <w:r>
              <w:rPr>
                <w:rFonts w:ascii="Arial" w:cs="Arial" w:eastAsia="Arial" w:hAnsi="Arial"/>
                <w:sz w:val="9"/>
                <w:szCs w:val="9"/>
                <w:b w:val="1"/>
                <w:bCs w:val="1"/>
                <w:color w:val="auto"/>
              </w:rPr>
              <w:t>Land and</w:t>
            </w:r>
          </w:p>
        </w:tc>
        <w:tc>
          <w:tcPr>
            <w:tcW w:w="720" w:type="dxa"/>
            <w:vAlign w:val="bottom"/>
            <w:gridSpan w:val="2"/>
          </w:tcPr>
          <w:p>
            <w:pPr>
              <w:ind w:left="60"/>
              <w:spacing w:after="0" w:line="92" w:lineRule="exact"/>
              <w:rPr>
                <w:sz w:val="20"/>
                <w:szCs w:val="20"/>
                <w:color w:val="auto"/>
              </w:rPr>
            </w:pPr>
            <w:r>
              <w:rPr>
                <w:rFonts w:ascii="Arial" w:cs="Arial" w:eastAsia="Arial" w:hAnsi="Arial"/>
                <w:sz w:val="9"/>
                <w:szCs w:val="9"/>
                <w:b w:val="1"/>
                <w:bCs w:val="1"/>
                <w:color w:val="auto"/>
              </w:rPr>
              <w:t>Building and</w:t>
            </w:r>
          </w:p>
        </w:tc>
        <w:tc>
          <w:tcPr>
            <w:tcW w:w="60" w:type="dxa"/>
            <w:vAlign w:val="bottom"/>
          </w:tcPr>
          <w:p>
            <w:pPr>
              <w:spacing w:after="0"/>
              <w:rPr>
                <w:sz w:val="7"/>
                <w:szCs w:val="7"/>
                <w:color w:val="auto"/>
              </w:rPr>
            </w:pPr>
          </w:p>
        </w:tc>
        <w:tc>
          <w:tcPr>
            <w:tcW w:w="580" w:type="dxa"/>
            <w:vAlign w:val="bottom"/>
            <w:gridSpan w:val="2"/>
          </w:tcPr>
          <w:p>
            <w:pPr>
              <w:jc w:val="center"/>
              <w:ind w:right="140"/>
              <w:spacing w:after="0" w:line="92" w:lineRule="exact"/>
              <w:rPr>
                <w:sz w:val="20"/>
                <w:szCs w:val="20"/>
                <w:color w:val="auto"/>
              </w:rPr>
            </w:pPr>
            <w:r>
              <w:rPr>
                <w:rFonts w:ascii="Arial" w:cs="Arial" w:eastAsia="Arial" w:hAnsi="Arial"/>
                <w:sz w:val="9"/>
                <w:szCs w:val="9"/>
                <w:b w:val="1"/>
                <w:bCs w:val="1"/>
                <w:color w:val="auto"/>
                <w:w w:val="99"/>
              </w:rPr>
              <w:t>for</w:t>
            </w:r>
          </w:p>
        </w:tc>
        <w:tc>
          <w:tcPr>
            <w:tcW w:w="660" w:type="dxa"/>
            <w:vAlign w:val="bottom"/>
            <w:gridSpan w:val="3"/>
          </w:tcPr>
          <w:p>
            <w:pPr>
              <w:jc w:val="center"/>
              <w:ind w:right="80"/>
              <w:spacing w:after="0" w:line="92" w:lineRule="exact"/>
              <w:rPr>
                <w:sz w:val="20"/>
                <w:szCs w:val="20"/>
                <w:color w:val="auto"/>
              </w:rPr>
            </w:pPr>
            <w:r>
              <w:rPr>
                <w:rFonts w:ascii="Arial" w:cs="Arial" w:eastAsia="Arial" w:hAnsi="Arial"/>
                <w:sz w:val="9"/>
                <w:szCs w:val="9"/>
                <w:b w:val="1"/>
                <w:bCs w:val="1"/>
                <w:color w:val="auto"/>
                <w:w w:val="96"/>
              </w:rPr>
              <w:t>Construction</w:t>
            </w:r>
          </w:p>
        </w:tc>
        <w:tc>
          <w:tcPr>
            <w:tcW w:w="50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Total</w:t>
            </w:r>
          </w:p>
        </w:tc>
        <w:tc>
          <w:tcPr>
            <w:tcW w:w="80" w:type="dxa"/>
            <w:vAlign w:val="bottom"/>
            <w:vMerge w:val="restart"/>
          </w:tcPr>
          <w:p>
            <w:pPr>
              <w:spacing w:after="0"/>
              <w:rPr>
                <w:sz w:val="7"/>
                <w:szCs w:val="7"/>
                <w:color w:val="auto"/>
              </w:rPr>
            </w:pPr>
          </w:p>
        </w:tc>
        <w:tc>
          <w:tcPr>
            <w:tcW w:w="640" w:type="dxa"/>
            <w:vAlign w:val="bottom"/>
            <w:gridSpan w:val="3"/>
          </w:tcPr>
          <w:p>
            <w:pPr>
              <w:ind w:left="20"/>
              <w:spacing w:after="0" w:line="92" w:lineRule="exact"/>
              <w:rPr>
                <w:sz w:val="20"/>
                <w:szCs w:val="20"/>
                <w:color w:val="auto"/>
              </w:rPr>
            </w:pPr>
            <w:r>
              <w:rPr>
                <w:rFonts w:ascii="Arial" w:cs="Arial" w:eastAsia="Arial" w:hAnsi="Arial"/>
                <w:sz w:val="9"/>
                <w:szCs w:val="9"/>
                <w:b w:val="1"/>
                <w:bCs w:val="1"/>
                <w:color w:val="auto"/>
              </w:rPr>
              <w:t>Accumulated</w:t>
            </w:r>
          </w:p>
        </w:tc>
        <w:tc>
          <w:tcPr>
            <w:tcW w:w="980" w:type="dxa"/>
            <w:vAlign w:val="bottom"/>
            <w:gridSpan w:val="2"/>
          </w:tcPr>
          <w:p>
            <w:pPr>
              <w:ind w:left="320"/>
              <w:spacing w:after="0" w:line="92" w:lineRule="exact"/>
              <w:rPr>
                <w:sz w:val="20"/>
                <w:szCs w:val="20"/>
                <w:color w:val="auto"/>
              </w:rPr>
            </w:pPr>
            <w:r>
              <w:rPr>
                <w:rFonts w:ascii="Arial" w:cs="Arial" w:eastAsia="Arial" w:hAnsi="Arial"/>
                <w:sz w:val="9"/>
                <w:szCs w:val="9"/>
                <w:b w:val="1"/>
                <w:bCs w:val="1"/>
                <w:color w:val="auto"/>
              </w:rPr>
              <w:t>Year(s)</w:t>
            </w:r>
          </w:p>
        </w:tc>
        <w:tc>
          <w:tcPr>
            <w:tcW w:w="1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Year(s) Acquired</w:t>
            </w:r>
          </w:p>
        </w:tc>
        <w:tc>
          <w:tcPr>
            <w:tcW w:w="80" w:type="dxa"/>
            <w:vAlign w:val="bottom"/>
            <w:vMerge w:val="restart"/>
          </w:tcPr>
          <w:p>
            <w:pPr>
              <w:spacing w:after="0"/>
              <w:rPr>
                <w:sz w:val="7"/>
                <w:szCs w:val="7"/>
                <w:color w:val="auto"/>
              </w:rPr>
            </w:pPr>
          </w:p>
        </w:tc>
        <w:tc>
          <w:tcPr>
            <w:tcW w:w="520" w:type="dxa"/>
            <w:vAlign w:val="bottom"/>
          </w:tcPr>
          <w:p>
            <w:pPr>
              <w:jc w:val="center"/>
              <w:spacing w:after="0" w:line="92" w:lineRule="exact"/>
              <w:rPr>
                <w:sz w:val="20"/>
                <w:szCs w:val="20"/>
                <w:color w:val="auto"/>
              </w:rPr>
            </w:pPr>
            <w:r>
              <w:rPr>
                <w:rFonts w:ascii="Arial" w:cs="Arial" w:eastAsia="Arial" w:hAnsi="Arial"/>
                <w:sz w:val="9"/>
                <w:szCs w:val="9"/>
                <w:b w:val="1"/>
                <w:bCs w:val="1"/>
                <w:color w:val="auto"/>
                <w:w w:val="95"/>
              </w:rPr>
              <w:t>Lives</w:t>
            </w:r>
          </w:p>
        </w:tc>
        <w:tc>
          <w:tcPr>
            <w:tcW w:w="0" w:type="dxa"/>
            <w:vAlign w:val="bottom"/>
          </w:tcPr>
          <w:p>
            <w:pPr>
              <w:spacing w:after="0"/>
              <w:rPr>
                <w:sz w:val="1"/>
                <w:szCs w:val="1"/>
                <w:color w:val="auto"/>
              </w:rPr>
            </w:pPr>
          </w:p>
        </w:tc>
      </w:tr>
      <w:tr>
        <w:trPr>
          <w:trHeight w:val="117"/>
        </w:trPr>
        <w:tc>
          <w:tcPr>
            <w:tcW w:w="56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Name</w:t>
            </w: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Acquisition</w:t>
            </w: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9"/>
              </w:rPr>
              <w:t>Development</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8"/>
              </w:rPr>
              <w:t>Depreciation</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rPr>
              <w:t>Built/Renovated</w:t>
            </w:r>
          </w:p>
        </w:tc>
        <w:tc>
          <w:tcPr>
            <w:tcW w:w="8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93"/>
        </w:trPr>
        <w:tc>
          <w:tcPr>
            <w:tcW w:w="620" w:type="dxa"/>
            <w:vAlign w:val="bottom"/>
            <w:gridSpan w:val="2"/>
            <w:shd w:val="clear" w:color="auto" w:fill="CCEEFF"/>
          </w:tcPr>
          <w:p>
            <w:pPr>
              <w:ind w:left="20"/>
              <w:spacing w:after="0" w:line="93" w:lineRule="exact"/>
              <w:rPr>
                <w:sz w:val="20"/>
                <w:szCs w:val="20"/>
                <w:color w:val="auto"/>
              </w:rPr>
            </w:pPr>
            <w:r>
              <w:rPr>
                <w:rFonts w:ascii="Arial" w:cs="Arial" w:eastAsia="Arial" w:hAnsi="Arial"/>
                <w:sz w:val="9"/>
                <w:szCs w:val="9"/>
                <w:color w:val="auto"/>
              </w:rPr>
              <w:t>767 Fifth</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Avenue (the</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ind w:left="20"/>
              <w:spacing w:after="0" w:line="83" w:lineRule="exact"/>
              <w:rPr>
                <w:sz w:val="20"/>
                <w:szCs w:val="20"/>
                <w:color w:val="auto"/>
              </w:rPr>
            </w:pPr>
            <w:r>
              <w:rPr>
                <w:rFonts w:ascii="Arial" w:cs="Arial" w:eastAsia="Arial" w:hAnsi="Arial"/>
                <w:sz w:val="9"/>
                <w:szCs w:val="9"/>
                <w:color w:val="auto"/>
              </w:rPr>
              <w:t>General</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ind w:left="20"/>
              <w:spacing w:after="0" w:line="83" w:lineRule="exact"/>
              <w:rPr>
                <w:sz w:val="20"/>
                <w:szCs w:val="20"/>
                <w:color w:val="auto"/>
              </w:rPr>
            </w:pPr>
            <w:r>
              <w:rPr>
                <w:rFonts w:ascii="Arial" w:cs="Arial" w:eastAsia="Arial" w:hAnsi="Arial"/>
                <w:sz w:val="9"/>
                <w:szCs w:val="9"/>
                <w:color w:val="auto"/>
              </w:rPr>
              <w:t>Motors</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Building)</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2,284,510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w w:val="92"/>
              </w:rPr>
              <w:t>$ 1,796,252</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w w:val="92"/>
              </w:rPr>
              <w:t>$ 1,532,654</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   325,762</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1,796,252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1,858,416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$ 3,654,668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457,344</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1968/2019</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Prudential</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line="99" w:lineRule="exact"/>
              <w:rPr>
                <w:sz w:val="20"/>
                <w:szCs w:val="20"/>
                <w:color w:val="auto"/>
              </w:rPr>
            </w:pPr>
            <w:r>
              <w:rPr>
                <w:rFonts w:ascii="Arial" w:cs="Arial" w:eastAsia="Arial" w:hAnsi="Arial"/>
                <w:sz w:val="9"/>
                <w:szCs w:val="9"/>
                <w:color w:val="auto"/>
                <w:w w:val="97"/>
              </w:rPr>
              <w:t>1965/1993/2002/2016-</w:t>
            </w: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92,077</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948,357</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658,972</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100,541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1,466,876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131,758</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1,699,406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702,725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2017</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1998/1999/2000</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Embarcadero</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8"/>
              </w:rPr>
              <w:t>San Francisco, CA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179,697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847,410</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437,070</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180,419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1,283,758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1,464,177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716,657</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1970/1989</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1998-1999</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399 Park</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339,200</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700,358</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334,213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339,200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1,034,571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1,373,771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426,148</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1961/2018</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601</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Lexington</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987,858</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241,600</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494,782</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478,558</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279,281</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935,659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1,214,940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337,421</w:t>
            </w: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1977/1997/2021</w:t>
            </w: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Salesforce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Tower</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w w:val="98"/>
              </w:rPr>
              <w:t>San Francisco, CA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200,349</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946,205</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7,462</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200,349</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953,667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1,154,016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129,281</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2018</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2013</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200</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Clarendon</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ind w:left="20"/>
              <w:spacing w:after="0" w:line="83" w:lineRule="exact"/>
              <w:rPr>
                <w:sz w:val="20"/>
                <w:szCs w:val="20"/>
                <w:color w:val="auto"/>
              </w:rPr>
            </w:pPr>
            <w:r>
              <w:rPr>
                <w:rFonts w:ascii="Arial" w:cs="Arial" w:eastAsia="Arial" w:hAnsi="Arial"/>
                <w:sz w:val="9"/>
                <w:szCs w:val="9"/>
                <w:color w:val="auto"/>
              </w:rPr>
              <w:t>Street and</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219,543</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667,884</w:t>
            </w:r>
          </w:p>
        </w:tc>
        <w:tc>
          <w:tcPr>
            <w:tcW w:w="60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9"/>
                <w:szCs w:val="9"/>
                <w:color w:val="auto"/>
              </w:rPr>
              <w:t>235,129</w:t>
            </w:r>
          </w:p>
        </w:tc>
        <w:tc>
          <w:tcPr>
            <w:tcW w:w="6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250,512</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872,044</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1,122,556</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310,318</w:t>
            </w:r>
          </w:p>
        </w:tc>
        <w:tc>
          <w:tcPr>
            <w:tcW w:w="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1976</w:t>
            </w:r>
          </w:p>
        </w:tc>
        <w:tc>
          <w:tcPr>
            <w:tcW w:w="80" w:type="dxa"/>
            <w:vAlign w:val="bottom"/>
            <w:shd w:val="clear" w:color="auto" w:fill="CCEEFF"/>
          </w:tcPr>
          <w:p>
            <w:pPr>
              <w:spacing w:after="0"/>
              <w:rPr>
                <w:sz w:val="7"/>
                <w:szCs w:val="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Garage</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250 West</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55th Street</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285,263</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603,167</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51,800</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285,263</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654,967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940,230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179,143</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2014</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100 Federal</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131,067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435,954</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119,341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131,067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555,295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686,362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157,368</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1971-1975/2017</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Madison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Centre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Seattle, WA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104,641</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564,336</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2,879</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104,641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567,215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671,856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13,611</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2017</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Times</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Square</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Tower</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165,413</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380,438</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83,458</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159,694</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469,615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629,309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229,310</w:t>
            </w: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2004</w:t>
            </w: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Carnegie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Princeton, NJ</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142,666</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316,856</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153,298</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90,501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465,769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55,919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631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612,820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247,525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1983-2016</w:t>
            </w:r>
          </w:p>
        </w:tc>
        <w:tc>
          <w:tcPr>
            <w:tcW w:w="80" w:type="dxa"/>
            <w:vAlign w:val="bottom"/>
          </w:tcPr>
          <w:p>
            <w:pPr>
              <w:spacing w:after="0"/>
              <w:rPr>
                <w:sz w:val="10"/>
                <w:szCs w:val="1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9"/>
                <w:szCs w:val="9"/>
                <w:color w:val="auto"/>
                <w:w w:val="96"/>
              </w:rPr>
              <w:t>1998/1999/2000/2007/2014/2017/2019</w:t>
            </w: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125</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Broadway</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126,364</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433,662</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58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126,364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433,720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560,084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4,503</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Atlantic</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Wharf</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63,988</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454,537</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24,158</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63,988</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478,695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542,683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171,876</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2011</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Reston Next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2,901</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525,277</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2,901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525,277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528,178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15,293</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560" w:type="dxa"/>
            <w:vAlign w:val="bottom"/>
          </w:tcPr>
          <w:p>
            <w:pPr>
              <w:ind w:left="20"/>
              <w:spacing w:after="0" w:line="99" w:lineRule="exact"/>
              <w:rPr>
                <w:sz w:val="20"/>
                <w:szCs w:val="20"/>
                <w:color w:val="auto"/>
              </w:rPr>
            </w:pPr>
            <w:r>
              <w:rPr>
                <w:rFonts w:ascii="Arial" w:cs="Arial" w:eastAsia="Arial" w:hAnsi="Arial"/>
                <w:sz w:val="9"/>
                <w:szCs w:val="9"/>
                <w:color w:val="auto"/>
              </w:rPr>
              <w:t>599</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ind w:left="20"/>
              <w:spacing w:after="0" w:line="95" w:lineRule="exact"/>
              <w:rPr>
                <w:sz w:val="20"/>
                <w:szCs w:val="20"/>
                <w:color w:val="auto"/>
              </w:rPr>
            </w:pPr>
            <w:r>
              <w:rPr>
                <w:rFonts w:ascii="Arial" w:cs="Arial" w:eastAsia="Arial" w:hAnsi="Arial"/>
                <w:sz w:val="9"/>
                <w:szCs w:val="9"/>
                <w:color w:val="auto"/>
              </w:rPr>
              <w:t>Lexington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81,040</w:t>
            </w:r>
          </w:p>
        </w:tc>
        <w:tc>
          <w:tcPr>
            <w:tcW w:w="6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100,507</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218,367</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81,040</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318,874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399,914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173,396</w:t>
            </w: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1986</w:t>
            </w:r>
          </w:p>
        </w:tc>
        <w:tc>
          <w:tcPr>
            <w:tcW w:w="80" w:type="dxa"/>
            <w:vAlign w:val="bottom"/>
          </w:tcPr>
          <w:p>
            <w:pPr>
              <w:spacing w:after="0"/>
              <w:rPr>
                <w:sz w:val="9"/>
                <w:szCs w:val="9"/>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Fountain</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Square</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56,853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306,298</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39,288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56,853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345,586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402,439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104,864</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1986-1990</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510 Madison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103,000</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253,665</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31,682</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103,000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285,347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388,347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95,520</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2012</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2010</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325 Main</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21,596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312,492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(193)</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21,403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312,492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333,895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4,308</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2022</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680 Folsom</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w w:val="98"/>
              </w:rPr>
              <w:t>San Francisco, CA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72,545</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219,766</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8,026</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72,545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227,792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300,337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72,414</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2014</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2012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145</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Broadway</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121</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273,013</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25,981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23,164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275,951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299,115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26,881</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560" w:type="dxa"/>
            <w:vAlign w:val="bottom"/>
          </w:tcPr>
          <w:p>
            <w:pPr>
              <w:ind w:left="20"/>
              <w:spacing w:after="0" w:line="99" w:lineRule="exact"/>
              <w:rPr>
                <w:sz w:val="20"/>
                <w:szCs w:val="20"/>
                <w:color w:val="auto"/>
              </w:rPr>
            </w:pPr>
            <w:r>
              <w:rPr>
                <w:rFonts w:ascii="Arial" w:cs="Arial" w:eastAsia="Arial" w:hAnsi="Arial"/>
                <w:sz w:val="9"/>
                <w:szCs w:val="9"/>
                <w:color w:val="auto"/>
              </w:rPr>
              <w:t>2200</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ind w:left="20"/>
              <w:spacing w:after="0" w:line="95" w:lineRule="exact"/>
              <w:rPr>
                <w:sz w:val="20"/>
                <w:szCs w:val="20"/>
                <w:color w:val="auto"/>
              </w:rPr>
            </w:pPr>
            <w:r>
              <w:rPr>
                <w:rFonts w:ascii="Arial" w:cs="Arial" w:eastAsia="Arial" w:hAnsi="Arial"/>
                <w:sz w:val="9"/>
                <w:szCs w:val="9"/>
                <w:color w:val="auto"/>
              </w:rPr>
              <w:t>Pennsylvania</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183,541</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113,108</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104,329</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192,320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296,649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71,410</w:t>
            </w: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2011</w:t>
            </w:r>
          </w:p>
        </w:tc>
        <w:tc>
          <w:tcPr>
            <w:tcW w:w="80" w:type="dxa"/>
            <w:vAlign w:val="bottom"/>
          </w:tcPr>
          <w:p>
            <w:pPr>
              <w:spacing w:after="0"/>
              <w:rPr>
                <w:sz w:val="9"/>
                <w:szCs w:val="9"/>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2008</w:t>
            </w:r>
          </w:p>
        </w:tc>
        <w:tc>
          <w:tcPr>
            <w:tcW w:w="8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South of</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Market and</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gridSpan w:val="2"/>
            <w:shd w:val="clear" w:color="auto" w:fill="CCEEFF"/>
          </w:tcPr>
          <w:p>
            <w:pPr>
              <w:ind w:left="20"/>
              <w:spacing w:after="0" w:line="83" w:lineRule="exact"/>
              <w:rPr>
                <w:sz w:val="20"/>
                <w:szCs w:val="20"/>
                <w:color w:val="auto"/>
              </w:rPr>
            </w:pPr>
            <w:r>
              <w:rPr>
                <w:rFonts w:ascii="Arial" w:cs="Arial" w:eastAsia="Arial" w:hAnsi="Arial"/>
                <w:sz w:val="9"/>
                <w:szCs w:val="9"/>
                <w:color w:val="auto"/>
              </w:rPr>
              <w:t>Democracy</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13,603</w:t>
            </w: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237,479</w:t>
            </w:r>
          </w:p>
        </w:tc>
        <w:tc>
          <w:tcPr>
            <w:tcW w:w="60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9"/>
                <w:szCs w:val="9"/>
                <w:color w:val="auto"/>
              </w:rPr>
              <w:t>28,655</w:t>
            </w:r>
          </w:p>
        </w:tc>
        <w:tc>
          <w:tcPr>
            <w:tcW w:w="6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13,603</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266,134</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279,737</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98,574</w:t>
            </w:r>
          </w:p>
        </w:tc>
        <w:tc>
          <w:tcPr>
            <w:tcW w:w="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2008-2009</w:t>
            </w:r>
          </w:p>
        </w:tc>
        <w:tc>
          <w:tcPr>
            <w:tcW w:w="80" w:type="dxa"/>
            <w:vAlign w:val="bottom"/>
            <w:shd w:val="clear" w:color="auto" w:fill="CCEEFF"/>
          </w:tcPr>
          <w:p>
            <w:pPr>
              <w:spacing w:after="0"/>
              <w:rPr>
                <w:sz w:val="7"/>
                <w:szCs w:val="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Tower</w:t>
            </w:r>
          </w:p>
        </w:tc>
        <w:tc>
          <w:tcPr>
            <w:tcW w:w="3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Bay Colony</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ind w:left="20"/>
              <w:spacing w:after="0" w:line="95" w:lineRule="exact"/>
              <w:rPr>
                <w:sz w:val="20"/>
                <w:szCs w:val="20"/>
                <w:color w:val="auto"/>
              </w:rPr>
            </w:pPr>
            <w:r>
              <w:rPr>
                <w:rFonts w:ascii="Arial" w:cs="Arial" w:eastAsia="Arial" w:hAnsi="Arial"/>
                <w:sz w:val="9"/>
                <w:szCs w:val="9"/>
                <w:color w:val="auto"/>
              </w:rPr>
              <w:t>Corporate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18,789</w:t>
            </w:r>
          </w:p>
        </w:tc>
        <w:tc>
          <w:tcPr>
            <w:tcW w:w="6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148,451</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87,804</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18,789</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231,828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4,427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255,044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105,172</w:t>
            </w: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1985-1989</w:t>
            </w:r>
          </w:p>
        </w:tc>
        <w:tc>
          <w:tcPr>
            <w:tcW w:w="80" w:type="dxa"/>
            <w:vAlign w:val="bottom"/>
          </w:tcPr>
          <w:p>
            <w:pPr>
              <w:spacing w:after="0"/>
              <w:rPr>
                <w:sz w:val="9"/>
                <w:szCs w:val="9"/>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2011</w:t>
            </w:r>
          </w:p>
        </w:tc>
        <w:tc>
          <w:tcPr>
            <w:tcW w:w="8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535 Mission</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8"/>
              </w:rPr>
              <w:t>San Francisco, CA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40,933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148,378</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3,852</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40,934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152,229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193,163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42,776</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Mountain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ind w:left="20"/>
              <w:spacing w:after="0" w:line="95" w:lineRule="exact"/>
              <w:rPr>
                <w:sz w:val="20"/>
                <w:szCs w:val="20"/>
                <w:color w:val="auto"/>
              </w:rPr>
            </w:pPr>
            <w:r>
              <w:rPr>
                <w:rFonts w:ascii="Arial" w:cs="Arial" w:eastAsia="Arial" w:hAnsi="Arial"/>
                <w:sz w:val="9"/>
                <w:szCs w:val="9"/>
                <w:color w:val="auto"/>
              </w:rPr>
              <w:t>View</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gridSpan w:val="2"/>
          </w:tcPr>
          <w:p>
            <w:pPr>
              <w:ind w:left="20"/>
              <w:spacing w:after="0" w:line="83" w:lineRule="exact"/>
              <w:rPr>
                <w:sz w:val="20"/>
                <w:szCs w:val="20"/>
                <w:color w:val="auto"/>
              </w:rPr>
            </w:pPr>
            <w:r>
              <w:rPr>
                <w:rFonts w:ascii="Arial" w:cs="Arial" w:eastAsia="Arial" w:hAnsi="Arial"/>
                <w:sz w:val="9"/>
                <w:szCs w:val="9"/>
                <w:color w:val="auto"/>
              </w:rPr>
              <w:t>Research</w:t>
            </w:r>
          </w:p>
        </w:tc>
        <w:tc>
          <w:tcPr>
            <w:tcW w:w="340" w:type="dxa"/>
            <w:vAlign w:val="bottom"/>
            <w:gridSpan w:val="2"/>
            <w:vMerge w:val="restart"/>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w w:val="96"/>
              </w:rPr>
              <w:t>Mountain View, CA</w:t>
            </w:r>
          </w:p>
        </w:tc>
        <w:tc>
          <w:tcPr>
            <w:tcW w:w="16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95,066</w:t>
            </w:r>
          </w:p>
        </w:tc>
        <w:tc>
          <w:tcPr>
            <w:tcW w:w="60" w:type="dxa"/>
            <w:vAlign w:val="bottom"/>
          </w:tcPr>
          <w:p>
            <w:pPr>
              <w:spacing w:after="0"/>
              <w:rPr>
                <w:sz w:val="7"/>
                <w:szCs w:val="7"/>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68,373</w:t>
            </w:r>
          </w:p>
        </w:tc>
        <w:tc>
          <w:tcPr>
            <w:tcW w:w="600" w:type="dxa"/>
            <w:vAlign w:val="bottom"/>
            <w:gridSpan w:val="2"/>
            <w:vMerge w:val="restart"/>
          </w:tcPr>
          <w:p>
            <w:pPr>
              <w:jc w:val="right"/>
              <w:ind w:right="18"/>
              <w:spacing w:after="0"/>
              <w:rPr>
                <w:sz w:val="20"/>
                <w:szCs w:val="20"/>
                <w:color w:val="auto"/>
              </w:rPr>
            </w:pPr>
            <w:r>
              <w:rPr>
                <w:rFonts w:ascii="Arial" w:cs="Arial" w:eastAsia="Arial" w:hAnsi="Arial"/>
                <w:sz w:val="9"/>
                <w:szCs w:val="9"/>
                <w:color w:val="auto"/>
              </w:rPr>
              <w:t>21,270</w:t>
            </w: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95,066</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89,643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184,709</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9"/>
                <w:szCs w:val="9"/>
                <w:color w:val="auto"/>
              </w:rPr>
              <w:t>28,575</w:t>
            </w:r>
          </w:p>
        </w:tc>
        <w:tc>
          <w:tcPr>
            <w:tcW w:w="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9"/>
                <w:szCs w:val="9"/>
                <w:color w:val="auto"/>
                <w:w w:val="99"/>
              </w:rPr>
              <w:t>1977-1981/2007-2013</w:t>
            </w:r>
          </w:p>
        </w:tc>
        <w:tc>
          <w:tcPr>
            <w:tcW w:w="80" w:type="dxa"/>
            <w:vAlign w:val="bottom"/>
          </w:tcPr>
          <w:p>
            <w:pPr>
              <w:spacing w:after="0"/>
              <w:rPr>
                <w:sz w:val="7"/>
                <w:szCs w:val="7"/>
                <w:color w:val="auto"/>
              </w:rPr>
            </w:pPr>
          </w:p>
        </w:tc>
        <w:tc>
          <w:tcPr>
            <w:tcW w:w="1500" w:type="dxa"/>
            <w:vAlign w:val="bottom"/>
            <w:vMerge w:val="restart"/>
          </w:tcPr>
          <w:p>
            <w:pPr>
              <w:jc w:val="right"/>
              <w:spacing w:after="0"/>
              <w:rPr>
                <w:sz w:val="20"/>
                <w:szCs w:val="20"/>
                <w:color w:val="auto"/>
              </w:rPr>
            </w:pPr>
            <w:r>
              <w:rPr>
                <w:rFonts w:ascii="Arial" w:cs="Arial" w:eastAsia="Arial" w:hAnsi="Arial"/>
                <w:sz w:val="9"/>
                <w:szCs w:val="9"/>
                <w:color w:val="auto"/>
              </w:rPr>
              <w:t>2013</w:t>
            </w:r>
          </w:p>
        </w:tc>
        <w:tc>
          <w:tcPr>
            <w:tcW w:w="8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9"/>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Park</w:t>
            </w:r>
          </w:p>
        </w:tc>
        <w:tc>
          <w:tcPr>
            <w:tcW w:w="3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Reservoir</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Place</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18,605</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104,124</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51,284</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19,089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153,859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1,065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174,013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84,089</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1955/1987/2017</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1997/1998</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560" w:type="dxa"/>
            <w:vAlign w:val="bottom"/>
          </w:tcPr>
          <w:p>
            <w:pPr>
              <w:ind w:left="20"/>
              <w:spacing w:after="0" w:line="99" w:lineRule="exact"/>
              <w:rPr>
                <w:sz w:val="20"/>
                <w:szCs w:val="20"/>
                <w:color w:val="auto"/>
              </w:rPr>
            </w:pPr>
            <w:r>
              <w:rPr>
                <w:rFonts w:ascii="Arial" w:cs="Arial" w:eastAsia="Arial" w:hAnsi="Arial"/>
                <w:sz w:val="9"/>
                <w:szCs w:val="9"/>
                <w:color w:val="auto"/>
              </w:rPr>
              <w:t>1330</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ind w:left="20"/>
              <w:spacing w:after="0" w:line="95" w:lineRule="exact"/>
              <w:rPr>
                <w:sz w:val="20"/>
                <w:szCs w:val="20"/>
                <w:color w:val="auto"/>
              </w:rPr>
            </w:pPr>
            <w:r>
              <w:rPr>
                <w:rFonts w:ascii="Arial" w:cs="Arial" w:eastAsia="Arial" w:hAnsi="Arial"/>
                <w:sz w:val="9"/>
                <w:szCs w:val="9"/>
                <w:color w:val="auto"/>
              </w:rPr>
              <w:t>Connecticut</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25,982</w:t>
            </w:r>
          </w:p>
        </w:tc>
        <w:tc>
          <w:tcPr>
            <w:tcW w:w="6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82,311</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33,434</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25,982</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115,745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141,727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46,795</w:t>
            </w: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1984/2018</w:t>
            </w:r>
          </w:p>
        </w:tc>
        <w:tc>
          <w:tcPr>
            <w:tcW w:w="80" w:type="dxa"/>
            <w:vAlign w:val="bottom"/>
          </w:tcPr>
          <w:p>
            <w:pPr>
              <w:spacing w:after="0"/>
              <w:rPr>
                <w:sz w:val="9"/>
                <w:szCs w:val="9"/>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One</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Freedom</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Square</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9,929</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84,504</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46,106</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9,883</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130,656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140,539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64,278</w:t>
            </w: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880 Winter</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15,597</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37,255</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91,537</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15,597</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128,792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144,389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2,560</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1998/2022</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2019</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Kingstowne</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Towne</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Alexandria, VA</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18,021</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109,038</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9"/>
                <w:szCs w:val="9"/>
                <w:color w:val="auto"/>
              </w:rPr>
              <w:t>3,658</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18,021</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112,696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130,717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52,498</w:t>
            </w: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2003-2006</w:t>
            </w: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20" w:type="dxa"/>
            <w:vAlign w:val="bottom"/>
            <w:gridSpan w:val="2"/>
          </w:tcPr>
          <w:p>
            <w:pPr>
              <w:ind w:left="20"/>
              <w:spacing w:after="0" w:line="99" w:lineRule="exact"/>
              <w:rPr>
                <w:sz w:val="20"/>
                <w:szCs w:val="20"/>
                <w:color w:val="auto"/>
              </w:rPr>
            </w:pPr>
            <w:r>
              <w:rPr>
                <w:rFonts w:ascii="Arial" w:cs="Arial" w:eastAsia="Arial" w:hAnsi="Arial"/>
                <w:sz w:val="9"/>
                <w:szCs w:val="9"/>
                <w:color w:val="auto"/>
              </w:rPr>
              <w:t>140 Kendrick</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20" w:type="dxa"/>
            <w:vAlign w:val="bottom"/>
            <w:gridSpan w:val="2"/>
          </w:tcPr>
          <w:p>
            <w:pPr>
              <w:ind w:left="20"/>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ind w:left="40"/>
              <w:spacing w:after="0"/>
              <w:rPr>
                <w:sz w:val="20"/>
                <w:szCs w:val="20"/>
                <w:color w:val="auto"/>
              </w:rPr>
            </w:pPr>
            <w:r>
              <w:rPr>
                <w:rFonts w:ascii="Arial" w:cs="Arial" w:eastAsia="Arial" w:hAnsi="Arial"/>
                <w:sz w:val="9"/>
                <w:szCs w:val="9"/>
                <w:color w:val="auto"/>
              </w:rPr>
              <w:t>Office</w:t>
            </w:r>
          </w:p>
        </w:tc>
        <w:tc>
          <w:tcPr>
            <w:tcW w:w="840" w:type="dxa"/>
            <w:vAlign w:val="bottom"/>
            <w:gridSpan w:val="2"/>
          </w:tcPr>
          <w:p>
            <w:pPr>
              <w:jc w:val="right"/>
              <w:ind w:right="80"/>
              <w:spacing w:after="0"/>
              <w:rPr>
                <w:sz w:val="20"/>
                <w:szCs w:val="20"/>
                <w:color w:val="auto"/>
              </w:rPr>
            </w:pPr>
            <w:r>
              <w:rPr>
                <w:rFonts w:ascii="Arial" w:cs="Arial" w:eastAsia="Arial" w:hAnsi="Arial"/>
                <w:sz w:val="9"/>
                <w:szCs w:val="9"/>
                <w:color w:val="auto"/>
              </w:rPr>
              <w:t>Needham, MA</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18,095</w:t>
            </w:r>
          </w:p>
        </w:tc>
        <w:tc>
          <w:tcPr>
            <w:tcW w:w="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66,905</w:t>
            </w:r>
          </w:p>
        </w:tc>
        <w:tc>
          <w:tcPr>
            <w:tcW w:w="600" w:type="dxa"/>
            <w:vAlign w:val="bottom"/>
            <w:gridSpan w:val="2"/>
          </w:tcPr>
          <w:p>
            <w:pPr>
              <w:jc w:val="right"/>
              <w:ind w:right="18"/>
              <w:spacing w:after="0"/>
              <w:rPr>
                <w:sz w:val="20"/>
                <w:szCs w:val="20"/>
                <w:color w:val="auto"/>
              </w:rPr>
            </w:pPr>
            <w:r>
              <w:rPr>
                <w:rFonts w:ascii="Arial" w:cs="Arial" w:eastAsia="Arial" w:hAnsi="Arial"/>
                <w:sz w:val="9"/>
                <w:szCs w:val="9"/>
                <w:color w:val="auto"/>
              </w:rPr>
              <w:t>38,538</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18,095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99,632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5,811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123,538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7"/>
              <w:spacing w:after="0"/>
              <w:rPr>
                <w:sz w:val="20"/>
                <w:szCs w:val="20"/>
                <w:color w:val="auto"/>
              </w:rPr>
            </w:pPr>
            <w:r>
              <w:rPr>
                <w:rFonts w:ascii="Arial" w:cs="Arial" w:eastAsia="Arial" w:hAnsi="Arial"/>
                <w:sz w:val="9"/>
                <w:szCs w:val="9"/>
                <w:color w:val="auto"/>
              </w:rPr>
              <w:t>40,368</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40"/>
          </w:cols>
          <w:pgMar w:left="320" w:top="281" w:right="23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216"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01" w:lineRule="auto"/>
        <w:rPr>
          <w:sz w:val="20"/>
          <w:szCs w:val="20"/>
          <w:color w:val="auto"/>
        </w:rPr>
      </w:pPr>
      <w:r>
        <w:rPr>
          <w:rFonts w:ascii="Arial" w:cs="Arial" w:eastAsia="Arial" w:hAnsi="Arial"/>
          <w:sz w:val="16"/>
          <w:szCs w:val="16"/>
          <w:b w:val="1"/>
          <w:bCs w:val="1"/>
          <w:color w:val="auto"/>
        </w:rPr>
        <w:t>December 31, 2022</w:t>
      </w: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5"/>
              </w:rPr>
              <w:t>Costs</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right"/>
              <w:ind w:right="297"/>
              <w:spacing w:after="0"/>
              <w:rPr>
                <w:sz w:val="20"/>
                <w:szCs w:val="20"/>
                <w:color w:val="auto"/>
              </w:rPr>
            </w:pPr>
            <w:r>
              <w:rPr>
                <w:rFonts w:ascii="Arial" w:cs="Arial" w:eastAsia="Arial" w:hAnsi="Arial"/>
                <w:sz w:val="9"/>
                <w:szCs w:val="9"/>
                <w:b w:val="1"/>
                <w:bCs w:val="1"/>
                <w:color w:val="auto"/>
              </w:rPr>
              <w:t>Original</w:t>
            </w:r>
          </w:p>
        </w:tc>
        <w:tc>
          <w:tcPr>
            <w:tcW w:w="80" w:type="dxa"/>
            <w:vAlign w:val="bottom"/>
          </w:tcPr>
          <w:p>
            <w:pPr>
              <w:spacing w:after="0"/>
              <w:rPr>
                <w:sz w:val="8"/>
                <w:szCs w:val="8"/>
                <w:color w:val="auto"/>
              </w:rPr>
            </w:pPr>
          </w:p>
        </w:tc>
        <w:tc>
          <w:tcPr>
            <w:tcW w:w="62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96"/>
              </w:rPr>
              <w:t>Capitalized</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95"/>
              </w:rPr>
              <w:t>Development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3"/>
              </w:rPr>
              <w:t>Depreciable</w:t>
            </w:r>
          </w:p>
        </w:tc>
        <w:tc>
          <w:tcPr>
            <w:tcW w:w="0" w:type="dxa"/>
            <w:vAlign w:val="bottom"/>
          </w:tcPr>
          <w:p>
            <w:pPr>
              <w:spacing w:after="0"/>
              <w:rPr>
                <w:sz w:val="1"/>
                <w:szCs w:val="1"/>
                <w:color w:val="auto"/>
              </w:rPr>
            </w:pPr>
          </w:p>
        </w:tc>
      </w:tr>
      <w:tr>
        <w:trPr>
          <w:trHeight w:val="83"/>
        </w:trPr>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Subsequent</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9"/>
              </w:rPr>
              <w:t>and</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60"/>
              <w:spacing w:after="0" w:line="95" w:lineRule="exact"/>
              <w:rPr>
                <w:sz w:val="20"/>
                <w:szCs w:val="20"/>
                <w:color w:val="auto"/>
              </w:rPr>
            </w:pPr>
            <w:r>
              <w:rPr>
                <w:rFonts w:ascii="Arial" w:cs="Arial" w:eastAsia="Arial" w:hAnsi="Arial"/>
                <w:sz w:val="9"/>
                <w:szCs w:val="9"/>
                <w:b w:val="1"/>
                <w:bCs w:val="1"/>
                <w:color w:val="auto"/>
                <w:w w:val="93"/>
              </w:rPr>
              <w:t>to</w:t>
            </w:r>
          </w:p>
        </w:tc>
        <w:tc>
          <w:tcPr>
            <w:tcW w:w="820" w:type="dxa"/>
            <w:vAlign w:val="bottom"/>
            <w:gridSpan w:val="2"/>
            <w:vMerge w:val="restart"/>
          </w:tcPr>
          <w:p>
            <w:pPr>
              <w:ind w:left="140"/>
              <w:spacing w:after="0" w:line="95" w:lineRule="exact"/>
              <w:rPr>
                <w:sz w:val="20"/>
                <w:szCs w:val="20"/>
                <w:color w:val="auto"/>
              </w:rPr>
            </w:pPr>
            <w:r>
              <w:rPr>
                <w:rFonts w:ascii="Arial" w:cs="Arial" w:eastAsia="Arial" w:hAnsi="Arial"/>
                <w:sz w:val="9"/>
                <w:szCs w:val="9"/>
                <w:b w:val="1"/>
                <w:bCs w:val="1"/>
                <w:color w:val="auto"/>
              </w:rPr>
              <w:t>Land and</w:t>
            </w:r>
          </w:p>
        </w:tc>
        <w:tc>
          <w:tcPr>
            <w:tcW w:w="820" w:type="dxa"/>
            <w:vAlign w:val="bottom"/>
            <w:gridSpan w:val="2"/>
            <w:vMerge w:val="restart"/>
          </w:tcPr>
          <w:p>
            <w:pPr>
              <w:ind w:left="60"/>
              <w:spacing w:after="0" w:line="95" w:lineRule="exact"/>
              <w:rPr>
                <w:sz w:val="20"/>
                <w:szCs w:val="20"/>
                <w:color w:val="auto"/>
              </w:rPr>
            </w:pPr>
            <w:r>
              <w:rPr>
                <w:rFonts w:ascii="Arial" w:cs="Arial" w:eastAsia="Arial" w:hAnsi="Arial"/>
                <w:sz w:val="9"/>
                <w:szCs w:val="9"/>
                <w:b w:val="1"/>
                <w:bCs w:val="1"/>
                <w:color w:val="auto"/>
              </w:rPr>
              <w:t>Building and</w:t>
            </w:r>
          </w:p>
        </w:tc>
        <w:tc>
          <w:tcPr>
            <w:tcW w:w="740" w:type="dxa"/>
            <w:vAlign w:val="bottom"/>
            <w:gridSpan w:val="2"/>
            <w:vMerge w:val="restart"/>
          </w:tcPr>
          <w:p>
            <w:pPr>
              <w:spacing w:after="0" w:line="95" w:lineRule="exact"/>
              <w:rPr>
                <w:sz w:val="20"/>
                <w:szCs w:val="20"/>
                <w:color w:val="auto"/>
              </w:rPr>
            </w:pPr>
            <w:r>
              <w:rPr>
                <w:rFonts w:ascii="Arial" w:cs="Arial" w:eastAsia="Arial" w:hAnsi="Arial"/>
                <w:sz w:val="9"/>
                <w:szCs w:val="9"/>
                <w:b w:val="1"/>
                <w:bCs w:val="1"/>
                <w:color w:val="auto"/>
              </w:rPr>
              <w:t>Land Held for</w:t>
            </w:r>
          </w:p>
        </w:tc>
        <w:tc>
          <w:tcPr>
            <w:tcW w:w="660" w:type="dxa"/>
            <w:vAlign w:val="bottom"/>
            <w:gridSpan w:val="2"/>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w w:val="96"/>
              </w:rPr>
              <w:t>Construction</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restart"/>
          </w:tcPr>
          <w:p>
            <w:pPr>
              <w:ind w:left="40"/>
              <w:spacing w:after="0" w:line="95" w:lineRule="exact"/>
              <w:rPr>
                <w:sz w:val="20"/>
                <w:szCs w:val="20"/>
                <w:color w:val="auto"/>
              </w:rPr>
            </w:pPr>
            <w:r>
              <w:rPr>
                <w:rFonts w:ascii="Arial" w:cs="Arial" w:eastAsia="Arial" w:hAnsi="Arial"/>
                <w:sz w:val="9"/>
                <w:szCs w:val="9"/>
                <w:b w:val="1"/>
                <w:bCs w:val="1"/>
                <w:color w:val="auto"/>
              </w:rPr>
              <w:t>Accumulated</w:t>
            </w:r>
          </w:p>
        </w:tc>
        <w:tc>
          <w:tcPr>
            <w:tcW w:w="780" w:type="dxa"/>
            <w:vAlign w:val="bottom"/>
            <w:gridSpan w:val="2"/>
            <w:vMerge w:val="restart"/>
          </w:tcPr>
          <w:p>
            <w:pPr>
              <w:ind w:left="220"/>
              <w:spacing w:after="0" w:line="95" w:lineRule="exact"/>
              <w:rPr>
                <w:sz w:val="20"/>
                <w:szCs w:val="20"/>
                <w:color w:val="auto"/>
              </w:rPr>
            </w:pPr>
            <w:r>
              <w:rPr>
                <w:rFonts w:ascii="Arial" w:cs="Arial" w:eastAsia="Arial" w:hAnsi="Arial"/>
                <w:sz w:val="9"/>
                <w:szCs w:val="9"/>
                <w:b w:val="1"/>
                <w:bCs w:val="1"/>
                <w:color w:val="auto"/>
              </w:rPr>
              <w:t>Year(s)</w:t>
            </w:r>
          </w:p>
        </w:tc>
        <w:tc>
          <w:tcPr>
            <w:tcW w:w="56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Year(s)</w:t>
            </w:r>
          </w:p>
        </w:tc>
        <w:tc>
          <w:tcPr>
            <w:tcW w:w="560" w:type="dxa"/>
            <w:vAlign w:val="bottom"/>
            <w:vMerge w:val="restart"/>
          </w:tcPr>
          <w:p>
            <w:pPr>
              <w:jc w:val="center"/>
              <w:spacing w:after="0" w:line="95" w:lineRule="exact"/>
              <w:rPr>
                <w:sz w:val="20"/>
                <w:szCs w:val="20"/>
                <w:color w:val="auto"/>
              </w:rPr>
            </w:pPr>
            <w:r>
              <w:rPr>
                <w:rFonts w:ascii="Arial" w:cs="Arial" w:eastAsia="Arial" w:hAnsi="Arial"/>
                <w:sz w:val="9"/>
                <w:szCs w:val="9"/>
                <w:b w:val="1"/>
                <w:bCs w:val="1"/>
                <w:color w:val="auto"/>
              </w:rPr>
              <w:t>Lives</w:t>
            </w:r>
          </w:p>
        </w:tc>
        <w:tc>
          <w:tcPr>
            <w:tcW w:w="0" w:type="dxa"/>
            <w:vAlign w:val="bottom"/>
          </w:tcPr>
          <w:p>
            <w:pPr>
              <w:spacing w:after="0"/>
              <w:rPr>
                <w:sz w:val="1"/>
                <w:szCs w:val="1"/>
                <w:color w:val="auto"/>
              </w:rPr>
            </w:pPr>
          </w:p>
        </w:tc>
      </w:tr>
      <w:tr>
        <w:trPr>
          <w:trHeight w:val="51"/>
        </w:trPr>
        <w:tc>
          <w:tcPr>
            <w:tcW w:w="920" w:type="dxa"/>
            <w:vAlign w:val="bottom"/>
            <w:gridSpan w:val="2"/>
            <w:vMerge w:val="restart"/>
          </w:tcPr>
          <w:p>
            <w:pPr>
              <w:ind w:left="140"/>
              <w:spacing w:after="0"/>
              <w:rPr>
                <w:sz w:val="20"/>
                <w:szCs w:val="20"/>
                <w:color w:val="auto"/>
              </w:rPr>
            </w:pPr>
            <w:r>
              <w:rPr>
                <w:rFonts w:ascii="Arial" w:cs="Arial" w:eastAsia="Arial" w:hAnsi="Arial"/>
                <w:sz w:val="9"/>
                <w:szCs w:val="9"/>
                <w:b w:val="1"/>
                <w:bCs w:val="1"/>
                <w:color w:val="auto"/>
              </w:rPr>
              <w:t>Property Name</w:t>
            </w:r>
          </w:p>
        </w:tc>
        <w:tc>
          <w:tcPr>
            <w:tcW w:w="80" w:type="dxa"/>
            <w:vAlign w:val="bottom"/>
            <w:vMerge w:val="restart"/>
          </w:tcPr>
          <w:p>
            <w:pPr>
              <w:spacing w:after="0"/>
              <w:rPr>
                <w:sz w:val="4"/>
                <w:szCs w:val="4"/>
                <w:color w:val="auto"/>
              </w:rPr>
            </w:pPr>
          </w:p>
        </w:tc>
        <w:tc>
          <w:tcPr>
            <w:tcW w:w="500" w:type="dxa"/>
            <w:vAlign w:val="bottom"/>
            <w:vMerge w:val="restart"/>
          </w:tcPr>
          <w:p>
            <w:pPr>
              <w:ind w:left="140"/>
              <w:spacing w:after="0"/>
              <w:rPr>
                <w:sz w:val="20"/>
                <w:szCs w:val="20"/>
                <w:color w:val="auto"/>
              </w:rPr>
            </w:pPr>
            <w:r>
              <w:rPr>
                <w:rFonts w:ascii="Arial" w:cs="Arial" w:eastAsia="Arial" w:hAnsi="Arial"/>
                <w:sz w:val="9"/>
                <w:szCs w:val="9"/>
                <w:b w:val="1"/>
                <w:bCs w:val="1"/>
                <w:color w:val="auto"/>
              </w:rPr>
              <w:t>Type</w:t>
            </w:r>
          </w:p>
        </w:tc>
        <w:tc>
          <w:tcPr>
            <w:tcW w:w="80" w:type="dxa"/>
            <w:vAlign w:val="bottom"/>
            <w:vMerge w:val="restart"/>
          </w:tcPr>
          <w:p>
            <w:pPr>
              <w:spacing w:after="0"/>
              <w:rPr>
                <w:sz w:val="4"/>
                <w:szCs w:val="4"/>
                <w:color w:val="auto"/>
              </w:rPr>
            </w:pPr>
          </w:p>
        </w:tc>
        <w:tc>
          <w:tcPr>
            <w:tcW w:w="860" w:type="dxa"/>
            <w:vAlign w:val="bottom"/>
            <w:vMerge w:val="restart"/>
          </w:tcPr>
          <w:p>
            <w:pPr>
              <w:jc w:val="right"/>
              <w:ind w:right="217"/>
              <w:spacing w:after="0"/>
              <w:rPr>
                <w:sz w:val="20"/>
                <w:szCs w:val="20"/>
                <w:color w:val="auto"/>
              </w:rPr>
            </w:pPr>
            <w:r>
              <w:rPr>
                <w:rFonts w:ascii="Arial" w:cs="Arial" w:eastAsia="Arial" w:hAnsi="Arial"/>
                <w:sz w:val="9"/>
                <w:szCs w:val="9"/>
                <w:b w:val="1"/>
                <w:bCs w:val="1"/>
                <w:color w:val="auto"/>
              </w:rPr>
              <w:t>Location</w:t>
            </w:r>
          </w:p>
        </w:tc>
        <w:tc>
          <w:tcPr>
            <w:tcW w:w="60" w:type="dxa"/>
            <w:vAlign w:val="bottom"/>
            <w:vMerge w:val="restart"/>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Encumbrances</w:t>
            </w:r>
          </w:p>
        </w:tc>
        <w:tc>
          <w:tcPr>
            <w:tcW w:w="140" w:type="dxa"/>
            <w:vAlign w:val="bottom"/>
            <w:vMerge w:val="restart"/>
          </w:tcPr>
          <w:p>
            <w:pPr>
              <w:spacing w:after="0"/>
              <w:rPr>
                <w:sz w:val="4"/>
                <w:szCs w:val="4"/>
                <w:color w:val="auto"/>
              </w:rPr>
            </w:pPr>
          </w:p>
        </w:tc>
        <w:tc>
          <w:tcPr>
            <w:tcW w:w="46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4"/>
                <w:szCs w:val="4"/>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Total</w:t>
            </w:r>
          </w:p>
        </w:tc>
        <w:tc>
          <w:tcPr>
            <w:tcW w:w="60" w:type="dxa"/>
            <w:vAlign w:val="bottom"/>
            <w:vMerge w:val="restart"/>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9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Acquisition</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5"/>
              </w:rPr>
              <w:t>Development</w:t>
            </w: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Depreciation</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6"/>
              </w:rPr>
              <w:t>Built/Renovated</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Acquired</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93"/>
        </w:trPr>
        <w:tc>
          <w:tcPr>
            <w:tcW w:w="1000" w:type="dxa"/>
            <w:vAlign w:val="bottom"/>
            <w:gridSpan w:val="3"/>
            <w:shd w:val="clear" w:color="auto" w:fill="CCEEFF"/>
          </w:tcPr>
          <w:p>
            <w:pPr>
              <w:ind w:left="20"/>
              <w:spacing w:after="0" w:line="93" w:lineRule="exact"/>
              <w:rPr>
                <w:sz w:val="20"/>
                <w:szCs w:val="20"/>
                <w:color w:val="auto"/>
              </w:rPr>
            </w:pPr>
            <w:r>
              <w:rPr>
                <w:rFonts w:ascii="Arial" w:cs="Arial" w:eastAsia="Arial" w:hAnsi="Arial"/>
                <w:sz w:val="9"/>
                <w:szCs w:val="9"/>
                <w:color w:val="auto"/>
              </w:rPr>
              <w:t>Shady Grove</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Innovation District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Rockville, MD</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52,030</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64,212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7,219</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26,834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34,988</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61,639</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123,461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3,319</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1968-1985</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ind w:left="20"/>
              <w:spacing w:after="0" w:line="99" w:lineRule="exact"/>
              <w:rPr>
                <w:sz w:val="20"/>
                <w:szCs w:val="20"/>
                <w:color w:val="auto"/>
              </w:rPr>
            </w:pPr>
            <w:r>
              <w:rPr>
                <w:rFonts w:ascii="Arial" w:cs="Arial" w:eastAsia="Arial" w:hAnsi="Arial"/>
                <w:sz w:val="9"/>
                <w:szCs w:val="9"/>
                <w:color w:val="auto"/>
              </w:rPr>
              <w:t>One and Two Reston</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Overlook</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16,456</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66,192</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36,098</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15,074</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103,672</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118,746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56,216</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1999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Weston Corporate</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Center</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Weston,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25,753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92,312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968</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25,854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93,179</w:t>
            </w: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119,033</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38,385</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ind w:left="20"/>
              <w:spacing w:after="0" w:line="99" w:lineRule="exact"/>
              <w:rPr>
                <w:sz w:val="20"/>
                <w:szCs w:val="20"/>
                <w:color w:val="auto"/>
              </w:rPr>
            </w:pPr>
            <w:r>
              <w:rPr>
                <w:rFonts w:ascii="Arial" w:cs="Arial" w:eastAsia="Arial" w:hAnsi="Arial"/>
                <w:sz w:val="9"/>
                <w:szCs w:val="9"/>
                <w:color w:val="auto"/>
              </w:rPr>
              <w:t>17Fifty Presidents</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Street</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113,362</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162</w:t>
            </w:r>
          </w:p>
        </w:tc>
        <w:tc>
          <w:tcPr>
            <w:tcW w:w="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113,524</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113,524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12,232</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Discovery Square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11,198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71,782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16,073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11,146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87,907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99,053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52,341</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ind w:left="20"/>
              <w:spacing w:after="0"/>
              <w:rPr>
                <w:sz w:val="20"/>
                <w:szCs w:val="20"/>
                <w:color w:val="auto"/>
              </w:rPr>
            </w:pPr>
            <w:r>
              <w:rPr>
                <w:rFonts w:ascii="Arial" w:cs="Arial" w:eastAsia="Arial" w:hAnsi="Arial"/>
                <w:sz w:val="9"/>
                <w:szCs w:val="9"/>
                <w:color w:val="auto"/>
                <w:w w:val="79"/>
              </w:rPr>
              <w:t>355</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Main Street</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18,863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53,346</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25,120</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21,098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76,231</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97,329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34,306</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1981/1996/2013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10 CityPoint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85,752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6,243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2,127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91,821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93,948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20,616</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Two Freedom Square</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13,930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77,739</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(5,895)</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13,866</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71,908</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85,774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33,860</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200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West Street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16,148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46,603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16,148</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71,269</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317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87,734</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22,576</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1999/2021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90 Broadway</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19,104</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52,078</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18,697</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20,741</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69,138</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89,879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29,243</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1983/1998/2013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153</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&amp; 211 Second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Avenue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55,940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202</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55,940</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89,375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4,808</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1964-2006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ind w:left="20"/>
              <w:spacing w:after="0"/>
              <w:rPr>
                <w:sz w:val="20"/>
                <w:szCs w:val="20"/>
                <w:color w:val="auto"/>
              </w:rPr>
            </w:pPr>
            <w:r>
              <w:rPr>
                <w:rFonts w:ascii="Arial" w:cs="Arial" w:eastAsia="Arial" w:hAnsi="Arial"/>
                <w:sz w:val="9"/>
                <w:szCs w:val="9"/>
                <w:color w:val="auto"/>
                <w:w w:val="79"/>
              </w:rPr>
              <w:t>230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CityPoint</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13,189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49,823</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22,987</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13,403</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72,596</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85,999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37,791</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1992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2005</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20 CityPoint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72,764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7,072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4,887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79,836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84,723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9,606</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00" w:type="dxa"/>
            <w:vAlign w:val="bottom"/>
            <w:gridSpan w:val="3"/>
          </w:tcPr>
          <w:p>
            <w:pPr>
              <w:ind w:left="20"/>
              <w:spacing w:after="0" w:line="99" w:lineRule="exact"/>
              <w:rPr>
                <w:sz w:val="20"/>
                <w:szCs w:val="20"/>
                <w:color w:val="auto"/>
              </w:rPr>
            </w:pPr>
            <w:r>
              <w:rPr>
                <w:rFonts w:ascii="Arial" w:cs="Arial" w:eastAsia="Arial" w:hAnsi="Arial"/>
                <w:sz w:val="9"/>
                <w:szCs w:val="9"/>
                <w:color w:val="auto"/>
              </w:rPr>
              <w:t>Waltham Weston</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Corporate Center</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10,385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60,694</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9,872</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10,350</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70,601</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80,951</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41,883</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77 CityPoint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13,847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60,383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9,596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13,997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69,829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83,826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32,548</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Sumner Square</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624</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28,745</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47,222</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27,685</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48,906</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76,591</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30,773</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2440 West El Camino</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Real</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Mountain View, CA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16,741</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51,285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6,391</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16,741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57,676</w:t>
            </w: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74,417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19,375</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1987/2003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ind w:left="20"/>
              <w:spacing w:after="0"/>
              <w:rPr>
                <w:sz w:val="20"/>
                <w:szCs w:val="20"/>
                <w:color w:val="auto"/>
              </w:rPr>
            </w:pPr>
            <w:r>
              <w:rPr>
                <w:rFonts w:ascii="Arial" w:cs="Arial" w:eastAsia="Arial" w:hAnsi="Arial"/>
                <w:sz w:val="9"/>
                <w:szCs w:val="9"/>
                <w:color w:val="auto"/>
                <w:w w:val="79"/>
              </w:rPr>
              <w:t>300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Binney Street</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18,080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51,262</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1,268</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18,080</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51,402</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1,128</w:t>
            </w:r>
          </w:p>
        </w:tc>
        <w:tc>
          <w:tcPr>
            <w:tcW w:w="1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70,610</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18,995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Reston Corporate</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Center</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9,135</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50,857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2,968</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9,496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53,464</w:t>
            </w: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62,960</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32,986</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Wisconsin Place</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Chevy Chase, MD</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53,349</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11,204</w:t>
            </w:r>
          </w:p>
        </w:tc>
        <w:tc>
          <w:tcPr>
            <w:tcW w:w="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64,553</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64,553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26,659</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255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Main Street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25,110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31,941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57,051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57,185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41,677</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University Place</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37,091</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14,453</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5,425</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46,119</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51,544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34,270</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890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Winter Street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13,913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28,557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6,998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13,913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35,555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49,468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5,409</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Capital Gallery</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4,725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29,565</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4,882</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6,128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33,044</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39,172</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21,506</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1981/2006</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North First Business</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Park</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San Jose, CA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23,398</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5,265</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18,360</w:t>
            </w: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41,732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17,264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1981</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ind w:left="20"/>
              <w:spacing w:after="0"/>
              <w:rPr>
                <w:sz w:val="20"/>
                <w:szCs w:val="20"/>
                <w:color w:val="auto"/>
              </w:rPr>
            </w:pPr>
            <w:r>
              <w:rPr>
                <w:rFonts w:ascii="Arial" w:cs="Arial" w:eastAsia="Arial" w:hAnsi="Arial"/>
                <w:sz w:val="9"/>
                <w:szCs w:val="9"/>
                <w:color w:val="auto"/>
                <w:w w:val="79"/>
              </w:rPr>
              <w:t>150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Broadway</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850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25,042</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13,721</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822</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38,791</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39,613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16,195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1999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105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Broadway</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10,611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1,862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22,991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24,853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14,898</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Lexington Office Park</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998</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1,426</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19,078</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1,072</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18,978</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1,452</w:t>
            </w:r>
          </w:p>
        </w:tc>
        <w:tc>
          <w:tcPr>
            <w:tcW w:w="1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21,502</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16,474</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The Point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6,395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546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6,492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16,981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2,308</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60" w:type="dxa"/>
            <w:vAlign w:val="bottom"/>
          </w:tcPr>
          <w:p>
            <w:pPr>
              <w:ind w:left="20"/>
              <w:spacing w:after="0"/>
              <w:rPr>
                <w:sz w:val="20"/>
                <w:szCs w:val="20"/>
                <w:color w:val="auto"/>
              </w:rPr>
            </w:pPr>
            <w:r>
              <w:rPr>
                <w:rFonts w:ascii="Arial" w:cs="Arial" w:eastAsia="Arial" w:hAnsi="Arial"/>
                <w:sz w:val="9"/>
                <w:szCs w:val="9"/>
                <w:color w:val="auto"/>
                <w:w w:val="79"/>
              </w:rPr>
              <w:t>690</w:t>
            </w:r>
          </w:p>
        </w:tc>
        <w:tc>
          <w:tcPr>
            <w:tcW w:w="840" w:type="dxa"/>
            <w:vAlign w:val="bottom"/>
            <w:gridSpan w:val="2"/>
          </w:tcPr>
          <w:p>
            <w:pPr>
              <w:ind w:left="20"/>
              <w:spacing w:after="0"/>
              <w:rPr>
                <w:sz w:val="20"/>
                <w:szCs w:val="20"/>
                <w:color w:val="auto"/>
              </w:rPr>
            </w:pPr>
            <w:r>
              <w:rPr>
                <w:rFonts w:ascii="Arial" w:cs="Arial" w:eastAsia="Arial" w:hAnsi="Arial"/>
                <w:sz w:val="9"/>
                <w:szCs w:val="9"/>
                <w:color w:val="auto"/>
              </w:rPr>
              <w:t>Folsom Street</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San Francisco, CA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3,219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11,038</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1,877</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3,219</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12,915</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16,134</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3,838</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2015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33 Hayden Avenue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3,234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10,864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14,098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14,364</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7,725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Avant Retail</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1,499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6,647</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2,577</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1,499</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9,224</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10,723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3,210</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2014</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92-100 Hayden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Avenue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594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1,568</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595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8,315</w:t>
            </w: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8,910</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7,273</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9"/>
                <w:szCs w:val="9"/>
                <w:color w:val="auto"/>
              </w:rPr>
              <w:t>32 Hartwell Avenue</w:t>
            </w:r>
          </w:p>
        </w:tc>
        <w:tc>
          <w:tcPr>
            <w:tcW w:w="580" w:type="dxa"/>
            <w:vAlign w:val="bottom"/>
            <w:gridSpan w:val="2"/>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820" w:type="dxa"/>
            <w:vAlign w:val="bottom"/>
            <w:gridSpan w:val="2"/>
          </w:tcPr>
          <w:p>
            <w:pPr>
              <w:ind w:left="5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168</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1,943</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6,358</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168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8,301</w:t>
            </w:r>
          </w:p>
        </w:tc>
        <w:tc>
          <w:tcPr>
            <w:tcW w:w="1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8,469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2,915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1968/1979/1987</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5"/>
        </w:trPr>
        <w:tc>
          <w:tcPr>
            <w:tcW w:w="160" w:type="dxa"/>
            <w:vAlign w:val="bottom"/>
            <w:shd w:val="clear" w:color="auto" w:fill="CCEEFF"/>
          </w:tcPr>
          <w:p>
            <w:pPr>
              <w:ind w:left="20"/>
              <w:spacing w:after="0"/>
              <w:rPr>
                <w:sz w:val="20"/>
                <w:szCs w:val="20"/>
                <w:color w:val="auto"/>
              </w:rPr>
            </w:pPr>
            <w:r>
              <w:rPr>
                <w:rFonts w:ascii="Arial" w:cs="Arial" w:eastAsia="Arial" w:hAnsi="Arial"/>
                <w:sz w:val="9"/>
                <w:szCs w:val="9"/>
                <w:color w:val="auto"/>
                <w:w w:val="79"/>
              </w:rPr>
              <w:t>250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Binney Street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4,483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2,939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7,422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7,532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6,769</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216"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01" w:lineRule="auto"/>
        <w:rPr>
          <w:sz w:val="20"/>
          <w:szCs w:val="20"/>
          <w:color w:val="auto"/>
        </w:rPr>
      </w:pPr>
      <w:r>
        <w:rPr>
          <w:rFonts w:ascii="Arial" w:cs="Arial" w:eastAsia="Arial" w:hAnsi="Arial"/>
          <w:sz w:val="16"/>
          <w:szCs w:val="16"/>
          <w:b w:val="1"/>
          <w:bCs w:val="1"/>
          <w:color w:val="auto"/>
        </w:rPr>
        <w:t>December 31, 2022</w:t>
      </w: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5"/>
              </w:rPr>
              <w:t>Costs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4"/>
            <w:vMerge w:val="restart"/>
          </w:tcPr>
          <w:p>
            <w:pPr>
              <w:ind w:left="420"/>
              <w:spacing w:after="0"/>
              <w:rPr>
                <w:sz w:val="20"/>
                <w:szCs w:val="20"/>
                <w:color w:val="auto"/>
              </w:rPr>
            </w:pPr>
            <w:r>
              <w:rPr>
                <w:rFonts w:ascii="Arial" w:cs="Arial" w:eastAsia="Arial" w:hAnsi="Arial"/>
                <w:sz w:val="9"/>
                <w:szCs w:val="9"/>
                <w:b w:val="1"/>
                <w:bCs w:val="1"/>
                <w:color w:val="auto"/>
              </w:rPr>
              <w:t>Original</w:t>
            </w:r>
          </w:p>
        </w:tc>
        <w:tc>
          <w:tcPr>
            <w:tcW w:w="62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96"/>
              </w:rPr>
              <w:t>Capitalized</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99"/>
              </w:rPr>
              <w:t>Development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3"/>
              </w:rPr>
              <w:t>Depreciable</w:t>
            </w: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Subsequent</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jc w:val="center"/>
              <w:ind w:right="200"/>
              <w:spacing w:after="0" w:line="83" w:lineRule="exact"/>
              <w:rPr>
                <w:sz w:val="20"/>
                <w:szCs w:val="20"/>
                <w:color w:val="auto"/>
              </w:rPr>
            </w:pPr>
            <w:r>
              <w:rPr>
                <w:rFonts w:ascii="Arial" w:cs="Arial" w:eastAsia="Arial" w:hAnsi="Arial"/>
                <w:sz w:val="9"/>
                <w:szCs w:val="9"/>
                <w:b w:val="1"/>
                <w:bCs w:val="1"/>
                <w:color w:val="auto"/>
                <w:w w:val="99"/>
              </w:rPr>
              <w:t>and</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100"/>
              <w:spacing w:after="0" w:line="95" w:lineRule="exact"/>
              <w:rPr>
                <w:sz w:val="20"/>
                <w:szCs w:val="20"/>
                <w:color w:val="auto"/>
              </w:rPr>
            </w:pPr>
            <w:r>
              <w:rPr>
                <w:rFonts w:ascii="Arial" w:cs="Arial" w:eastAsia="Arial" w:hAnsi="Arial"/>
                <w:sz w:val="9"/>
                <w:szCs w:val="9"/>
                <w:b w:val="1"/>
                <w:bCs w:val="1"/>
                <w:color w:val="auto"/>
                <w:w w:val="93"/>
              </w:rPr>
              <w:t>to</w:t>
            </w:r>
          </w:p>
        </w:tc>
        <w:tc>
          <w:tcPr>
            <w:tcW w:w="80" w:type="dxa"/>
            <w:vAlign w:val="bottom"/>
          </w:tcPr>
          <w:p>
            <w:pPr>
              <w:spacing w:after="0"/>
              <w:rPr>
                <w:sz w:val="2"/>
                <w:szCs w:val="2"/>
                <w:color w:val="auto"/>
              </w:rPr>
            </w:pPr>
          </w:p>
        </w:tc>
        <w:tc>
          <w:tcPr>
            <w:tcW w:w="560" w:type="dxa"/>
            <w:vAlign w:val="bottom"/>
            <w:vMerge w:val="restart"/>
          </w:tcPr>
          <w:p>
            <w:pPr>
              <w:jc w:val="right"/>
              <w:ind w:right="77"/>
              <w:spacing w:after="0" w:line="95" w:lineRule="exact"/>
              <w:rPr>
                <w:sz w:val="20"/>
                <w:szCs w:val="20"/>
                <w:color w:val="auto"/>
              </w:rPr>
            </w:pPr>
            <w:r>
              <w:rPr>
                <w:rFonts w:ascii="Arial" w:cs="Arial" w:eastAsia="Arial" w:hAnsi="Arial"/>
                <w:sz w:val="9"/>
                <w:szCs w:val="9"/>
                <w:b w:val="1"/>
                <w:bCs w:val="1"/>
                <w:color w:val="auto"/>
              </w:rPr>
              <w:t>Land and</w:t>
            </w:r>
          </w:p>
        </w:tc>
        <w:tc>
          <w:tcPr>
            <w:tcW w:w="160" w:type="dxa"/>
            <w:vAlign w:val="bottom"/>
          </w:tcPr>
          <w:p>
            <w:pPr>
              <w:spacing w:after="0"/>
              <w:rPr>
                <w:sz w:val="2"/>
                <w:szCs w:val="2"/>
                <w:color w:val="auto"/>
              </w:rPr>
            </w:pPr>
          </w:p>
        </w:tc>
        <w:tc>
          <w:tcPr>
            <w:tcW w:w="660" w:type="dxa"/>
            <w:vAlign w:val="bottom"/>
            <w:vMerge w:val="restart"/>
          </w:tcPr>
          <w:p>
            <w:pPr>
              <w:jc w:val="right"/>
              <w:ind w:right="17"/>
              <w:spacing w:after="0" w:line="95" w:lineRule="exact"/>
              <w:rPr>
                <w:sz w:val="20"/>
                <w:szCs w:val="20"/>
                <w:color w:val="auto"/>
              </w:rPr>
            </w:pPr>
            <w:r>
              <w:rPr>
                <w:rFonts w:ascii="Arial" w:cs="Arial" w:eastAsia="Arial" w:hAnsi="Arial"/>
                <w:sz w:val="9"/>
                <w:szCs w:val="9"/>
                <w:b w:val="1"/>
                <w:bCs w:val="1"/>
                <w:color w:val="auto"/>
              </w:rPr>
              <w:t>Building and</w:t>
            </w:r>
          </w:p>
        </w:tc>
        <w:tc>
          <w:tcPr>
            <w:tcW w:w="160" w:type="dxa"/>
            <w:vAlign w:val="bottom"/>
          </w:tcPr>
          <w:p>
            <w:pPr>
              <w:spacing w:after="0"/>
              <w:rPr>
                <w:sz w:val="2"/>
                <w:szCs w:val="2"/>
                <w:color w:val="auto"/>
              </w:rPr>
            </w:pPr>
          </w:p>
        </w:tc>
        <w:tc>
          <w:tcPr>
            <w:tcW w:w="600" w:type="dxa"/>
            <w:vAlign w:val="bottom"/>
            <w:gridSpan w:val="2"/>
            <w:vMerge w:val="restart"/>
          </w:tcPr>
          <w:p>
            <w:pPr>
              <w:ind w:left="20"/>
              <w:spacing w:after="0" w:line="95" w:lineRule="exact"/>
              <w:rPr>
                <w:sz w:val="20"/>
                <w:szCs w:val="20"/>
                <w:color w:val="auto"/>
              </w:rPr>
            </w:pPr>
            <w:r>
              <w:rPr>
                <w:rFonts w:ascii="Arial" w:cs="Arial" w:eastAsia="Arial" w:hAnsi="Arial"/>
                <w:sz w:val="9"/>
                <w:szCs w:val="9"/>
                <w:b w:val="1"/>
                <w:bCs w:val="1"/>
                <w:color w:val="auto"/>
                <w:w w:val="96"/>
              </w:rPr>
              <w:t>Land Held for</w:t>
            </w:r>
          </w:p>
        </w:tc>
        <w:tc>
          <w:tcPr>
            <w:tcW w:w="160" w:type="dxa"/>
            <w:vAlign w:val="bottom"/>
          </w:tcPr>
          <w:p>
            <w:pPr>
              <w:spacing w:after="0"/>
              <w:rPr>
                <w:sz w:val="2"/>
                <w:szCs w:val="2"/>
                <w:color w:val="auto"/>
              </w:rPr>
            </w:pPr>
          </w:p>
        </w:tc>
        <w:tc>
          <w:tcPr>
            <w:tcW w:w="660" w:type="dxa"/>
            <w:vAlign w:val="bottom"/>
            <w:gridSpan w:val="3"/>
            <w:vMerge w:val="restart"/>
          </w:tcPr>
          <w:p>
            <w:pPr>
              <w:jc w:val="center"/>
              <w:ind w:right="40"/>
              <w:spacing w:after="0" w:line="95" w:lineRule="exact"/>
              <w:rPr>
                <w:sz w:val="20"/>
                <w:szCs w:val="20"/>
                <w:color w:val="auto"/>
              </w:rPr>
            </w:pPr>
            <w:r>
              <w:rPr>
                <w:rFonts w:ascii="Arial" w:cs="Arial" w:eastAsia="Arial" w:hAnsi="Arial"/>
                <w:sz w:val="9"/>
                <w:szCs w:val="9"/>
                <w:b w:val="1"/>
                <w:bCs w:val="1"/>
                <w:color w:val="auto"/>
                <w:w w:val="96"/>
              </w:rPr>
              <w:t>Construction</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jc w:val="right"/>
              <w:spacing w:after="0" w:line="95" w:lineRule="exact"/>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2"/>
                <w:szCs w:val="2"/>
                <w:color w:val="auto"/>
              </w:rPr>
            </w:pPr>
          </w:p>
        </w:tc>
        <w:tc>
          <w:tcPr>
            <w:tcW w:w="760" w:type="dxa"/>
            <w:vAlign w:val="bottom"/>
            <w:gridSpan w:val="2"/>
            <w:vMerge w:val="restart"/>
          </w:tcPr>
          <w:p>
            <w:pPr>
              <w:ind w:left="200"/>
              <w:spacing w:after="0" w:line="95" w:lineRule="exact"/>
              <w:rPr>
                <w:sz w:val="20"/>
                <w:szCs w:val="20"/>
                <w:color w:val="auto"/>
              </w:rPr>
            </w:pPr>
            <w:r>
              <w:rPr>
                <w:rFonts w:ascii="Arial" w:cs="Arial" w:eastAsia="Arial" w:hAnsi="Arial"/>
                <w:sz w:val="9"/>
                <w:szCs w:val="9"/>
                <w:b w:val="1"/>
                <w:bCs w:val="1"/>
                <w:color w:val="auto"/>
              </w:rPr>
              <w:t>Year(s)</w:t>
            </w:r>
          </w:p>
        </w:tc>
        <w:tc>
          <w:tcPr>
            <w:tcW w:w="520" w:type="dxa"/>
            <w:vAlign w:val="bottom"/>
            <w:gridSpan w:val="2"/>
            <w:vMerge w:val="restart"/>
          </w:tcPr>
          <w:p>
            <w:pPr>
              <w:ind w:left="80"/>
              <w:spacing w:after="0" w:line="95" w:lineRule="exact"/>
              <w:rPr>
                <w:sz w:val="20"/>
                <w:szCs w:val="20"/>
                <w:color w:val="auto"/>
              </w:rPr>
            </w:pPr>
            <w:r>
              <w:rPr>
                <w:rFonts w:ascii="Arial" w:cs="Arial" w:eastAsia="Arial" w:hAnsi="Arial"/>
                <w:sz w:val="9"/>
                <w:szCs w:val="9"/>
                <w:b w:val="1"/>
                <w:bCs w:val="1"/>
                <w:color w:val="auto"/>
              </w:rPr>
              <w:t>Year(s)</w:t>
            </w:r>
          </w:p>
        </w:tc>
        <w:tc>
          <w:tcPr>
            <w:tcW w:w="560" w:type="dxa"/>
            <w:vAlign w:val="bottom"/>
            <w:vMerge w:val="restart"/>
          </w:tcPr>
          <w:p>
            <w:pPr>
              <w:jc w:val="center"/>
              <w:spacing w:after="0" w:line="95" w:lineRule="exact"/>
              <w:rPr>
                <w:sz w:val="20"/>
                <w:szCs w:val="20"/>
                <w:color w:val="auto"/>
              </w:rPr>
            </w:pPr>
            <w:r>
              <w:rPr>
                <w:rFonts w:ascii="Arial" w:cs="Arial" w:eastAsia="Arial" w:hAnsi="Arial"/>
                <w:sz w:val="9"/>
                <w:szCs w:val="9"/>
                <w:b w:val="1"/>
                <w:bCs w:val="1"/>
                <w:color w:val="auto"/>
              </w:rPr>
              <w:t>Lives</w:t>
            </w:r>
          </w:p>
        </w:tc>
        <w:tc>
          <w:tcPr>
            <w:tcW w:w="0" w:type="dxa"/>
            <w:vAlign w:val="bottom"/>
          </w:tcPr>
          <w:p>
            <w:pPr>
              <w:spacing w:after="0"/>
              <w:rPr>
                <w:sz w:val="1"/>
                <w:szCs w:val="1"/>
                <w:color w:val="auto"/>
              </w:rPr>
            </w:pPr>
          </w:p>
        </w:tc>
      </w:tr>
      <w:tr>
        <w:trPr>
          <w:trHeight w:val="51"/>
        </w:trPr>
        <w:tc>
          <w:tcPr>
            <w:tcW w:w="700" w:type="dxa"/>
            <w:vAlign w:val="bottom"/>
            <w:vMerge w:val="restart"/>
          </w:tcPr>
          <w:p>
            <w:pPr>
              <w:ind w:left="40"/>
              <w:spacing w:after="0"/>
              <w:rPr>
                <w:sz w:val="20"/>
                <w:szCs w:val="20"/>
                <w:color w:val="auto"/>
              </w:rPr>
            </w:pPr>
            <w:r>
              <w:rPr>
                <w:rFonts w:ascii="Arial" w:cs="Arial" w:eastAsia="Arial" w:hAnsi="Arial"/>
                <w:sz w:val="9"/>
                <w:szCs w:val="9"/>
                <w:b w:val="1"/>
                <w:bCs w:val="1"/>
                <w:color w:val="auto"/>
                <w:w w:val="99"/>
              </w:rPr>
              <w:t>Property Name</w:t>
            </w:r>
          </w:p>
        </w:tc>
        <w:tc>
          <w:tcPr>
            <w:tcW w:w="60" w:type="dxa"/>
            <w:vAlign w:val="bottom"/>
            <w:vMerge w:val="restart"/>
          </w:tcPr>
          <w:p>
            <w:pPr>
              <w:spacing w:after="0"/>
              <w:rPr>
                <w:sz w:val="4"/>
                <w:szCs w:val="4"/>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Type</w:t>
            </w:r>
          </w:p>
        </w:tc>
        <w:tc>
          <w:tcPr>
            <w:tcW w:w="60" w:type="dxa"/>
            <w:vAlign w:val="bottom"/>
            <w:vMerge w:val="restart"/>
          </w:tcPr>
          <w:p>
            <w:pPr>
              <w:spacing w:after="0"/>
              <w:rPr>
                <w:sz w:val="4"/>
                <w:szCs w:val="4"/>
                <w:color w:val="auto"/>
              </w:rPr>
            </w:pPr>
          </w:p>
        </w:tc>
        <w:tc>
          <w:tcPr>
            <w:tcW w:w="880" w:type="dxa"/>
            <w:vAlign w:val="bottom"/>
            <w:vMerge w:val="restart"/>
          </w:tcPr>
          <w:p>
            <w:pPr>
              <w:jc w:val="right"/>
              <w:ind w:right="217"/>
              <w:spacing w:after="0"/>
              <w:rPr>
                <w:sz w:val="20"/>
                <w:szCs w:val="20"/>
                <w:color w:val="auto"/>
              </w:rPr>
            </w:pPr>
            <w:r>
              <w:rPr>
                <w:rFonts w:ascii="Arial" w:cs="Arial" w:eastAsia="Arial" w:hAnsi="Arial"/>
                <w:sz w:val="9"/>
                <w:szCs w:val="9"/>
                <w:b w:val="1"/>
                <w:bCs w:val="1"/>
                <w:color w:val="auto"/>
              </w:rPr>
              <w:t>Location</w:t>
            </w:r>
          </w:p>
        </w:tc>
        <w:tc>
          <w:tcPr>
            <w:tcW w:w="60" w:type="dxa"/>
            <w:vAlign w:val="bottom"/>
            <w:vMerge w:val="restart"/>
          </w:tcPr>
          <w:p>
            <w:pPr>
              <w:spacing w:after="0"/>
              <w:rPr>
                <w:sz w:val="4"/>
                <w:szCs w:val="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9"/>
              </w:rPr>
              <w:t>Encumbrances</w:t>
            </w:r>
          </w:p>
        </w:tc>
        <w:tc>
          <w:tcPr>
            <w:tcW w:w="160" w:type="dxa"/>
            <w:vAlign w:val="bottom"/>
          </w:tcPr>
          <w:p>
            <w:pPr>
              <w:spacing w:after="0"/>
              <w:rPr>
                <w:sz w:val="4"/>
                <w:szCs w:val="4"/>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4"/>
                <w:szCs w:val="4"/>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9"/>
                <w:szCs w:val="9"/>
                <w:b w:val="1"/>
                <w:bCs w:val="1"/>
                <w:color w:val="auto"/>
              </w:rPr>
              <w:t>Building</w:t>
            </w:r>
          </w:p>
        </w:tc>
        <w:tc>
          <w:tcPr>
            <w:tcW w:w="80" w:type="dxa"/>
            <w:vAlign w:val="bottom"/>
            <w:vMerge w:val="restart"/>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80" w:type="dxa"/>
            <w:vAlign w:val="bottom"/>
            <w:vMerge w:val="restart"/>
          </w:tcPr>
          <w:p>
            <w:pPr>
              <w:jc w:val="right"/>
              <w:ind w:right="137"/>
              <w:spacing w:after="0"/>
              <w:rPr>
                <w:sz w:val="20"/>
                <w:szCs w:val="20"/>
                <w:color w:val="auto"/>
              </w:rPr>
            </w:pPr>
            <w:r>
              <w:rPr>
                <w:rFonts w:ascii="Arial" w:cs="Arial" w:eastAsia="Arial" w:hAnsi="Arial"/>
                <w:sz w:val="9"/>
                <w:szCs w:val="9"/>
                <w:b w:val="1"/>
                <w:bCs w:val="1"/>
                <w:color w:val="auto"/>
              </w:rPr>
              <w:t>Total</w:t>
            </w:r>
          </w:p>
        </w:tc>
        <w:tc>
          <w:tcPr>
            <w:tcW w:w="80" w:type="dxa"/>
            <w:vAlign w:val="bottom"/>
            <w:vMerge w:val="restart"/>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Acquisition</w:t>
            </w:r>
          </w:p>
        </w:tc>
        <w:tc>
          <w:tcPr>
            <w:tcW w:w="80" w:type="dxa"/>
            <w:vAlign w:val="bottom"/>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16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Improvements</w:t>
            </w:r>
          </w:p>
        </w:tc>
        <w:tc>
          <w:tcPr>
            <w:tcW w:w="160" w:type="dxa"/>
            <w:vAlign w:val="bottom"/>
          </w:tcPr>
          <w:p>
            <w:pPr>
              <w:spacing w:after="0"/>
              <w:rPr>
                <w:sz w:val="10"/>
                <w:szCs w:val="10"/>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w w:val="95"/>
              </w:rPr>
              <w:t>Development</w:t>
            </w:r>
          </w:p>
        </w:tc>
        <w:tc>
          <w:tcPr>
            <w:tcW w:w="160" w:type="dxa"/>
            <w:vAlign w:val="bottom"/>
          </w:tcPr>
          <w:p>
            <w:pPr>
              <w:spacing w:after="0"/>
              <w:rPr>
                <w:sz w:val="10"/>
                <w:szCs w:val="10"/>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6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8"/>
              </w:rPr>
              <w:t>Depreciation</w:t>
            </w:r>
          </w:p>
        </w:tc>
        <w:tc>
          <w:tcPr>
            <w:tcW w:w="80" w:type="dxa"/>
            <w:vAlign w:val="bottom"/>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6"/>
              </w:rPr>
              <w:t>Built/Renovated</w:t>
            </w:r>
          </w:p>
        </w:tc>
        <w:tc>
          <w:tcPr>
            <w:tcW w:w="60" w:type="dxa"/>
            <w:vAlign w:val="bottom"/>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Acquired</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93"/>
        </w:trPr>
        <w:tc>
          <w:tcPr>
            <w:tcW w:w="760" w:type="dxa"/>
            <w:vAlign w:val="bottom"/>
            <w:gridSpan w:val="2"/>
          </w:tcPr>
          <w:p>
            <w:pPr>
              <w:ind w:left="20"/>
              <w:spacing w:after="0" w:line="93" w:lineRule="exact"/>
              <w:rPr>
                <w:sz w:val="20"/>
                <w:szCs w:val="20"/>
                <w:color w:val="auto"/>
              </w:rPr>
            </w:pPr>
            <w:r>
              <w:rPr>
                <w:rFonts w:ascii="Arial" w:cs="Arial" w:eastAsia="Arial" w:hAnsi="Arial"/>
                <w:sz w:val="9"/>
                <w:szCs w:val="9"/>
                <w:color w:val="auto"/>
              </w:rPr>
              <w:t>453 Ravendale</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Drive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Mountain View,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5,477</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1,090</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677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5,477</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1,767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7,244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964</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1977</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17 Hartwell</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Avenue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5,907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6,057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6,083</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3,479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1968</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The Skylyne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Residential</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Oakland,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28,962</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239,077</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1,784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28,962</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240,861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269,823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14,154</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2020</w:t>
            </w:r>
          </w:p>
        </w:tc>
        <w:tc>
          <w:tcPr>
            <w:tcW w:w="6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Signature at</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Reston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Residential</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27,076</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190,580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27,076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192,247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219,323</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Proto Kendall</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Square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Residential</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9,243</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127,248</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3,336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9,245</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130,582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139,827</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14,508</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2018</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2015</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The Lofts at</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Atlantic Wharf</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Residential</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54,891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2,356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57,247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60,776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Boston Marriott</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Cambridge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Hotel</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478</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37,918</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29,946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478</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67,353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511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68,342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50,642</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1986/2017</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Kendall Center</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Green Garage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Garage</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35,035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6,384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41,419</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41,419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Kendall Center</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Yellow Garage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Garage</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1,256</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15,697</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941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1,256</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16,638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17,894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7,170</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Kendall Center</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Blue Garage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Garage</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11,633</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12,079</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13,242</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700" w:type="dxa"/>
            <w:vAlign w:val="bottom"/>
          </w:tcPr>
          <w:p>
            <w:pPr>
              <w:ind w:left="20"/>
              <w:spacing w:after="0" w:line="99" w:lineRule="exact"/>
              <w:rPr>
                <w:sz w:val="20"/>
                <w:szCs w:val="20"/>
                <w:color w:val="auto"/>
              </w:rPr>
            </w:pPr>
            <w:r>
              <w:rPr>
                <w:rFonts w:ascii="Arial" w:cs="Arial" w:eastAsia="Arial" w:hAnsi="Arial"/>
                <w:sz w:val="9"/>
                <w:szCs w:val="9"/>
                <w:color w:val="auto"/>
              </w:rPr>
              <w:t>2100</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gridSpan w:val="2"/>
          </w:tcPr>
          <w:p>
            <w:pPr>
              <w:ind w:left="20"/>
              <w:spacing w:after="0" w:line="95" w:lineRule="exact"/>
              <w:rPr>
                <w:sz w:val="20"/>
                <w:szCs w:val="20"/>
                <w:color w:val="auto"/>
              </w:rPr>
            </w:pPr>
            <w:r>
              <w:rPr>
                <w:rFonts w:ascii="Arial" w:cs="Arial" w:eastAsia="Arial" w:hAnsi="Arial"/>
                <w:sz w:val="9"/>
                <w:szCs w:val="9"/>
                <w:color w:val="auto"/>
              </w:rPr>
              <w:t>Pennsylvania</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Avenue</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Development</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60" w:type="dxa"/>
            <w:vAlign w:val="bottom"/>
          </w:tcPr>
          <w:p>
            <w:pPr>
              <w:spacing w:after="0"/>
              <w:rPr>
                <w:sz w:val="9"/>
                <w:szCs w:val="9"/>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472,873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185,203</w:t>
            </w:r>
          </w:p>
        </w:tc>
        <w:tc>
          <w:tcPr>
            <w:tcW w:w="1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230,497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57,173</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472,873</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9,755</w:t>
            </w:r>
          </w:p>
        </w:tc>
        <w:tc>
          <w:tcPr>
            <w:tcW w:w="8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190 CityPoint</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6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(formerly 180</w:t>
            </w: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CityPoint)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Development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140,370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140,370</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140,370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26"/>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103 CityPoint</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Development</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44,752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44,678</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44,752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Reston Next</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 Phase II</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Development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22,954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22,954</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22,954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Reston Next</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Retail</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Development</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3,199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3,199</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3,199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777 Harrison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Street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San Francisco, CA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144,647</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28,239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172,839</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172,886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Kendall Center</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148,476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148,476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148,476</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Back Bay Station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72,957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72,957</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72,957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00" w:type="dxa"/>
            <w:vAlign w:val="bottom"/>
          </w:tcPr>
          <w:p>
            <w:pPr>
              <w:ind w:left="20"/>
              <w:spacing w:after="0" w:line="99" w:lineRule="exact"/>
              <w:rPr>
                <w:sz w:val="20"/>
                <w:szCs w:val="20"/>
                <w:color w:val="auto"/>
              </w:rPr>
            </w:pPr>
            <w:r>
              <w:rPr>
                <w:rFonts w:ascii="Arial" w:cs="Arial" w:eastAsia="Arial" w:hAnsi="Arial"/>
                <w:sz w:val="9"/>
                <w:szCs w:val="9"/>
                <w:color w:val="auto"/>
              </w:rPr>
              <w:t>3625-3635</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Peterson Way</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Santa Clara,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63,206</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5,165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68,371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68,371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2016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North First</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San Jose, CA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35,004</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3,968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38,972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38,972</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Plaza at</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Almaden</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San Jose,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38,090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38,090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38,090</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Springfield Metro</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Center</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Springfield,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19,891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19,891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19,891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CityPoint South</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19,693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19,693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19,693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Reston Gateway</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12,734</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26"/>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Weston Quarry</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Weston,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1,249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1,249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1,249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04"/>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Broad Run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Business Park</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Loudoun County,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1,184</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99"/>
        </w:trPr>
        <w:tc>
          <w:tcPr>
            <w:tcW w:w="760" w:type="dxa"/>
            <w:vAlign w:val="bottom"/>
            <w:gridSpan w:val="2"/>
          </w:tcPr>
          <w:p>
            <w:pPr>
              <w:ind w:left="20"/>
              <w:spacing w:after="0" w:line="99" w:lineRule="exact"/>
              <w:rPr>
                <w:sz w:val="20"/>
                <w:szCs w:val="20"/>
                <w:color w:val="auto"/>
              </w:rPr>
            </w:pPr>
            <w:r>
              <w:rPr>
                <w:rFonts w:ascii="Arial" w:cs="Arial" w:eastAsia="Arial" w:hAnsi="Arial"/>
                <w:sz w:val="9"/>
                <w:szCs w:val="9"/>
                <w:color w:val="auto"/>
              </w:rPr>
              <w:t>Reston Overlook</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20"/>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Land</w:t>
            </w: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80</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6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3,272,368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6"/>
              </w:rPr>
              <w:t>$ 5,373,987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5"/>
              </w:rPr>
              <w:t>$ 14,755,092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$ 5,247,621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5,476,618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18,772,007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721,501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406,574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$ 25,376,700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   6,143,384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500" w:right="480" w:hanging="355"/>
        <w:spacing w:after="0" w:line="251" w:lineRule="auto"/>
        <w:rPr>
          <w:sz w:val="20"/>
          <w:szCs w:val="20"/>
          <w:color w:val="auto"/>
        </w:rPr>
      </w:pPr>
      <w:r>
        <w:rPr>
          <w:rFonts w:ascii="Arial" w:cs="Arial" w:eastAsia="Arial" w:hAnsi="Arial"/>
          <w:sz w:val="13"/>
          <w:szCs w:val="13"/>
          <w:color w:val="auto"/>
        </w:rPr>
        <w:t>Note: Total Real Estate does not include Furniture, Fixtures and Equipment totaling approximately $50,310. Accumulated Depreciation does not include approximately $37,090 of accumulated depreciation related to Furniture, Fixtures and Equipment. Office type includes office, life sciences, and retail properties.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aggregate cost and accumulated depreciation for tax purposes was approximately $25.7 billion and $5.6 billion, respectively.</w:t>
      </w:r>
    </w:p>
    <w:p>
      <w:pPr>
        <w:spacing w:after="0" w:line="218" w:lineRule="exact"/>
        <w:rPr>
          <w:sz w:val="20"/>
          <w:szCs w:val="20"/>
          <w:color w:val="auto"/>
        </w:rPr>
      </w:pPr>
    </w:p>
    <w:p>
      <w:pPr>
        <w:ind w:left="480" w:hanging="343"/>
        <w:spacing w:after="0"/>
        <w:tabs>
          <w:tab w:leader="none" w:pos="4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Depreciation of the buildings and improvements are calculated over lives ranging from the life of the lease to 40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480" w:hanging="343"/>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Includes unamortized deferred financing costs totaling approximately $27,632.</w:t>
      </w:r>
    </w:p>
    <w:p>
      <w:pPr>
        <w:spacing w:after="0" w:line="4" w:lineRule="exact"/>
        <w:rPr>
          <w:rFonts w:ascii="Arial" w:cs="Arial" w:eastAsia="Arial" w:hAnsi="Arial"/>
          <w:sz w:val="13"/>
          <w:szCs w:val="13"/>
          <w:color w:val="auto"/>
        </w:rPr>
      </w:pPr>
    </w:p>
    <w:p>
      <w:pPr>
        <w:ind w:left="480" w:hanging="343"/>
        <w:spacing w:after="0"/>
        <w:tabs>
          <w:tab w:leader="none" w:pos="4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Includes Right of Use Assets - Finance Leases and Right of Use Assets - Operating Leases of approximately $214,165 and $167,351, respectively.</w:t>
      </w:r>
    </w:p>
    <w:p>
      <w:pPr>
        <w:spacing w:after="0" w:line="14" w:lineRule="exact"/>
        <w:rPr>
          <w:rFonts w:ascii="Arial" w:cs="Arial" w:eastAsia="Arial" w:hAnsi="Arial"/>
          <w:sz w:val="12"/>
          <w:szCs w:val="12"/>
          <w:color w:val="auto"/>
        </w:rPr>
      </w:pPr>
    </w:p>
    <w:p>
      <w:pPr>
        <w:ind w:left="480" w:hanging="343"/>
        <w:spacing w:after="0" w:line="231" w:lineRule="auto"/>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Includes Right of Use Assets - Finance Leases of approximately $23,345.</w:t>
      </w:r>
    </w:p>
    <w:p>
      <w:pPr>
        <w:ind w:left="480" w:hanging="343"/>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Includes pre-development costs.</w:t>
      </w: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139"/>
          </w:cols>
          <w:pgMar w:left="320" w:top="281" w:right="1440"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Real Estate and Accumulated Depreciation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activity for real estate and accumulated depreciation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00" w:type="dxa"/>
            <w:vAlign w:val="bottom"/>
          </w:tcPr>
          <w:p>
            <w:pPr>
              <w:ind w:left="300"/>
              <w:spacing w:after="0"/>
              <w:rPr>
                <w:sz w:val="20"/>
                <w:szCs w:val="20"/>
                <w:color w:val="auto"/>
              </w:rPr>
            </w:pPr>
            <w:r>
              <w:rPr>
                <w:rFonts w:ascii="Arial" w:cs="Arial" w:eastAsia="Arial" w:hAnsi="Arial"/>
                <w:sz w:val="16"/>
                <w:szCs w:val="16"/>
                <w:color w:val="auto"/>
              </w:rPr>
              <w:t>Balance at the beginning of the year</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23,734,833</w:t>
            </w:r>
          </w:p>
        </w:tc>
        <w:tc>
          <w:tcPr>
            <w:tcW w:w="100" w:type="dxa"/>
            <w:vAlign w:val="bottom"/>
          </w:tcPr>
          <w:p>
            <w:pPr>
              <w:spacing w:after="0"/>
              <w:rPr>
                <w:sz w:val="17"/>
                <w:szCs w:val="17"/>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22,926,494</w:t>
            </w:r>
          </w:p>
        </w:tc>
        <w:tc>
          <w:tcPr>
            <w:tcW w:w="100" w:type="dxa"/>
            <w:vAlign w:val="bottom"/>
          </w:tcPr>
          <w:p>
            <w:pPr>
              <w:spacing w:after="0"/>
              <w:rPr>
                <w:sz w:val="17"/>
                <w:szCs w:val="17"/>
                <w:color w:val="auto"/>
              </w:rPr>
            </w:pP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22,449,476</w:t>
            </w: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Additions to/improvements of real estate</w:t>
            </w: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2,228,000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1,145,084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996,989</w:t>
            </w:r>
          </w:p>
        </w:tc>
        <w:tc>
          <w:tcPr>
            <w:tcW w:w="0" w:type="dxa"/>
            <w:vAlign w:val="bottom"/>
          </w:tcPr>
          <w:p>
            <w:pPr>
              <w:spacing w:after="0"/>
              <w:rPr>
                <w:sz w:val="1"/>
                <w:szCs w:val="1"/>
                <w:color w:val="auto"/>
              </w:rPr>
            </w:pPr>
          </w:p>
        </w:tc>
      </w:tr>
      <w:tr>
        <w:trPr>
          <w:trHeight w:val="201"/>
        </w:trPr>
        <w:tc>
          <w:tcPr>
            <w:tcW w:w="5500" w:type="dxa"/>
            <w:vAlign w:val="bottom"/>
            <w:tcBorders>
              <w:bottom w:val="single" w:sz="8" w:color="CCEEFF"/>
            </w:tcBorders>
          </w:tcPr>
          <w:p>
            <w:pPr>
              <w:jc w:val="center"/>
              <w:ind w:right="2721"/>
              <w:spacing w:after="0"/>
              <w:rPr>
                <w:sz w:val="20"/>
                <w:szCs w:val="20"/>
                <w:color w:val="auto"/>
              </w:rPr>
            </w:pPr>
            <w:r>
              <w:rPr>
                <w:rFonts w:ascii="Arial" w:cs="Arial" w:eastAsia="Arial" w:hAnsi="Arial"/>
                <w:sz w:val="16"/>
                <w:szCs w:val="16"/>
                <w:color w:val="auto"/>
                <w:w w:val="98"/>
              </w:rPr>
              <w:t>Assets sold/written-off</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(586,133)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(336,745)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(519,971)</w:t>
            </w: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shd w:val="clear" w:color="auto" w:fill="CCEEFF"/>
          </w:tcPr>
          <w:p>
            <w:pPr>
              <w:jc w:val="center"/>
              <w:ind w:right="2721"/>
              <w:spacing w:after="0" w:line="181" w:lineRule="exact"/>
              <w:rPr>
                <w:sz w:val="20"/>
                <w:szCs w:val="20"/>
                <w:color w:val="auto"/>
              </w:rPr>
            </w:pPr>
            <w:r>
              <w:rPr>
                <w:rFonts w:ascii="Arial" w:cs="Arial" w:eastAsia="Arial" w:hAnsi="Arial"/>
                <w:sz w:val="16"/>
                <w:szCs w:val="16"/>
                <w:color w:val="auto"/>
                <w:w w:val="98"/>
              </w:rPr>
              <w:t>Balance at the end of the year</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25,376,700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23,734,833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22,926,494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Accumulated Depreciation: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Balance at the beginning of the year</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5,736,240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5,396,111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5,135,289</w:t>
            </w:r>
          </w:p>
        </w:tc>
        <w:tc>
          <w:tcPr>
            <w:tcW w:w="0" w:type="dxa"/>
            <w:vAlign w:val="bottom"/>
          </w:tcPr>
          <w:p>
            <w:pPr>
              <w:spacing w:after="0"/>
              <w:rPr>
                <w:sz w:val="1"/>
                <w:szCs w:val="1"/>
                <w:color w:val="auto"/>
              </w:rPr>
            </w:pPr>
          </w:p>
        </w:tc>
      </w:tr>
      <w:tr>
        <w:trPr>
          <w:trHeight w:val="201"/>
        </w:trPr>
        <w:tc>
          <w:tcPr>
            <w:tcW w:w="5500" w:type="dxa"/>
            <w:vAlign w:val="bottom"/>
          </w:tcPr>
          <w:p>
            <w:pPr>
              <w:jc w:val="center"/>
              <w:ind w:right="2741"/>
              <w:spacing w:after="0"/>
              <w:rPr>
                <w:sz w:val="20"/>
                <w:szCs w:val="20"/>
                <w:color w:val="auto"/>
              </w:rPr>
            </w:pPr>
            <w:r>
              <w:rPr>
                <w:rFonts w:ascii="Arial" w:cs="Arial" w:eastAsia="Arial" w:hAnsi="Arial"/>
                <w:sz w:val="16"/>
                <w:szCs w:val="16"/>
                <w:color w:val="auto"/>
                <w:w w:val="98"/>
              </w:rPr>
              <w:t>Depreciation expense</w:t>
            </w: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638,538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615,553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566,813</w:t>
            </w: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jc w:val="center"/>
              <w:ind w:right="2721"/>
              <w:spacing w:after="0"/>
              <w:rPr>
                <w:sz w:val="20"/>
                <w:szCs w:val="20"/>
                <w:color w:val="auto"/>
              </w:rPr>
            </w:pPr>
            <w:r>
              <w:rPr>
                <w:rFonts w:ascii="Arial" w:cs="Arial" w:eastAsia="Arial" w:hAnsi="Arial"/>
                <w:sz w:val="16"/>
                <w:szCs w:val="16"/>
                <w:color w:val="auto"/>
                <w:w w:val="98"/>
              </w:rPr>
              <w:t>Assets sold/written-off</w:t>
            </w: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(231,394)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(275,424)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(305,991)</w:t>
            </w:r>
          </w:p>
        </w:tc>
        <w:tc>
          <w:tcPr>
            <w:tcW w:w="0" w:type="dxa"/>
            <w:vAlign w:val="bottom"/>
          </w:tcPr>
          <w:p>
            <w:pPr>
              <w:spacing w:after="0"/>
              <w:rPr>
                <w:sz w:val="1"/>
                <w:szCs w:val="1"/>
                <w:color w:val="auto"/>
              </w:rPr>
            </w:pPr>
          </w:p>
        </w:tc>
      </w:tr>
      <w:tr>
        <w:trPr>
          <w:trHeight w:val="193"/>
        </w:trPr>
        <w:tc>
          <w:tcPr>
            <w:tcW w:w="5500" w:type="dxa"/>
            <w:vAlign w:val="bottom"/>
          </w:tcPr>
          <w:p>
            <w:pPr>
              <w:jc w:val="center"/>
              <w:ind w:right="2721"/>
              <w:spacing w:after="0" w:line="180" w:lineRule="exact"/>
              <w:rPr>
                <w:sz w:val="20"/>
                <w:szCs w:val="20"/>
                <w:color w:val="auto"/>
              </w:rPr>
            </w:pPr>
            <w:r>
              <w:rPr>
                <w:rFonts w:ascii="Arial" w:cs="Arial" w:eastAsia="Arial" w:hAnsi="Arial"/>
                <w:sz w:val="16"/>
                <w:szCs w:val="16"/>
                <w:color w:val="auto"/>
                <w:w w:val="98"/>
              </w:rPr>
              <w:t>Balance at the end of the year</w:t>
            </w: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6,143,384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5,736,240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5,396,111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Note: Real Estate and Accumulated Depreciation amounts do not include Furniture, Fixtures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 Exhibits</w:t>
      </w:r>
    </w:p>
    <w:p>
      <w:pPr>
        <w:spacing w:after="0" w:line="219" w:lineRule="exact"/>
        <w:rPr>
          <w:sz w:val="20"/>
          <w:szCs w:val="20"/>
          <w:color w:val="auto"/>
        </w:rPr>
      </w:pPr>
    </w:p>
    <w:p>
      <w:pPr>
        <w:ind w:left="1520" w:right="360" w:hanging="764"/>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2.1 —</w:t>
      </w:r>
      <w:r>
        <w:rPr>
          <w:sz w:val="20"/>
          <w:szCs w:val="20"/>
          <w:color w:val="auto"/>
        </w:rPr>
        <w:tab/>
      </w:r>
      <w:hyperlink r:id="rId254">
        <w:r>
          <w:rPr>
            <w:rFonts w:ascii="Arial" w:cs="Arial" w:eastAsia="Arial" w:hAnsi="Arial"/>
            <w:sz w:val="15"/>
            <w:szCs w:val="15"/>
            <w:u w:val="single" w:color="auto"/>
            <w:color w:val="0000FF"/>
          </w:rPr>
          <w:t>Transfer Agreement, dated May 31, 2013, by and among BP 767 Fifth LLC, Sungate Fifth Avenue LLC, 767 LLC and BP/DC 767 Fifth</w:t>
        </w:r>
      </w:hyperlink>
      <w:r>
        <w:rPr>
          <w:rFonts w:ascii="Arial" w:cs="Arial" w:eastAsia="Arial" w:hAnsi="Arial"/>
          <w:sz w:val="15"/>
          <w:szCs w:val="15"/>
          <w:u w:val="single" w:color="auto"/>
          <w:color w:val="0000FF"/>
        </w:rPr>
        <w:t xml:space="preserve"> </w:t>
      </w:r>
      <w:hyperlink r:id="rId254">
        <w:r>
          <w:rPr>
            <w:rFonts w:ascii="Arial" w:cs="Arial" w:eastAsia="Arial" w:hAnsi="Arial"/>
            <w:sz w:val="15"/>
            <w:szCs w:val="15"/>
            <w:u w:val="single" w:color="auto"/>
            <w:color w:val="0000FF"/>
          </w:rPr>
          <w:t>LLC. (Incorporated by reference to Exhibit 2.1 to the Current Report on Form 8-K of Boston Properties, Inc. filed on June 3, 2013.)</w:t>
        </w:r>
      </w:hyperlink>
    </w:p>
    <w:p>
      <w:pPr>
        <w:spacing w:after="0" w:line="25" w:lineRule="exact"/>
        <w:rPr>
          <w:sz w:val="20"/>
          <w:szCs w:val="20"/>
          <w:color w:val="auto"/>
        </w:rPr>
      </w:pPr>
    </w:p>
    <w:p>
      <w:pPr>
        <w:jc w:val="right"/>
        <w:ind w:left="760"/>
        <w:spacing w:after="0" w:line="21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     </w:t>
      </w:r>
      <w:hyperlink r:id="rId255">
        <w:r>
          <w:rPr>
            <w:rFonts w:ascii="Arial" w:cs="Arial" w:eastAsia="Arial" w:hAnsi="Arial"/>
            <w:sz w:val="16"/>
            <w:szCs w:val="16"/>
            <w:u w:val="single" w:color="auto"/>
            <w:color w:val="0000FF"/>
          </w:rPr>
          <w:t>Purchase and Sale Agreement by and among NBIM Walker 601 LEX NYC LLC, NBIM Walker 100 FED BOS LLC, NBIM Walker ATW BOS</w:t>
        </w:r>
      </w:hyperlink>
      <w:r>
        <w:rPr>
          <w:rFonts w:ascii="Arial" w:cs="Arial" w:eastAsia="Arial" w:hAnsi="Arial"/>
          <w:sz w:val="16"/>
          <w:szCs w:val="16"/>
          <w:color w:val="auto"/>
        </w:rPr>
        <w:t xml:space="preserve"> </w:t>
      </w:r>
      <w:hyperlink r:id="rId255">
        <w:r>
          <w:rPr>
            <w:rFonts w:ascii="Arial" w:cs="Arial" w:eastAsia="Arial" w:hAnsi="Arial"/>
            <w:sz w:val="16"/>
            <w:szCs w:val="16"/>
            <w:u w:val="single" w:color="auto"/>
            <w:color w:val="0000FF"/>
          </w:rPr>
          <w:t>LLC and Boston Properties Limited Partnership, dated September 16, 2014. (Incorporated by reference to Exhibit 2.1 to the Current Report</w:t>
        </w:r>
      </w:hyperlink>
    </w:p>
    <w:p>
      <w:pPr>
        <w:spacing w:after="0" w:line="1" w:lineRule="exact"/>
        <w:rPr>
          <w:sz w:val="20"/>
          <w:szCs w:val="20"/>
          <w:color w:val="auto"/>
        </w:rPr>
      </w:pPr>
    </w:p>
    <w:p>
      <w:pPr>
        <w:ind w:left="1520"/>
        <w:spacing w:after="0"/>
        <w:rPr>
          <w:rFonts w:ascii="Arial" w:cs="Arial" w:eastAsia="Arial" w:hAnsi="Arial"/>
          <w:sz w:val="16"/>
          <w:szCs w:val="16"/>
          <w:u w:val="single" w:color="auto"/>
          <w:color w:val="0000FF"/>
        </w:rPr>
      </w:pPr>
      <w:hyperlink r:id="rId255">
        <w:r>
          <w:rPr>
            <w:rFonts w:ascii="Arial" w:cs="Arial" w:eastAsia="Arial" w:hAnsi="Arial"/>
            <w:sz w:val="16"/>
            <w:szCs w:val="16"/>
            <w:u w:val="single" w:color="auto"/>
            <w:color w:val="0000FF"/>
          </w:rPr>
          <w:t>on Form 8-K of Boston Properties Limited Partnership filed on September 18, 2014.)</w:t>
        </w:r>
      </w:hyperlink>
    </w:p>
    <w:p>
      <w:pPr>
        <w:spacing w:after="0" w:line="6" w:lineRule="exact"/>
        <w:rPr>
          <w:sz w:val="20"/>
          <w:szCs w:val="20"/>
          <w:color w:val="auto"/>
        </w:rPr>
      </w:pPr>
    </w:p>
    <w:p>
      <w:pPr>
        <w:ind w:left="1520" w:right="16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3.1 —</w:t>
      </w:r>
      <w:r>
        <w:rPr>
          <w:sz w:val="20"/>
          <w:szCs w:val="20"/>
          <w:color w:val="auto"/>
        </w:rPr>
        <w:tab/>
      </w:r>
      <w:hyperlink r:id="rId256">
        <w:r>
          <w:rPr>
            <w:rFonts w:ascii="Arial" w:cs="Arial" w:eastAsia="Arial" w:hAnsi="Arial"/>
            <w:sz w:val="16"/>
            <w:szCs w:val="16"/>
            <w:u w:val="single" w:color="auto"/>
            <w:color w:val="0000FF"/>
          </w:rPr>
          <w:t>Form of Amended and Restated Certificate of Incorporation of Boston Properties, Inc. (Incorporated by reference to Exhibit 3.1 to Boston</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Properties, Inc.’s Registration Statement on Form S-11, File No. 333-25279.)</w:t>
        </w:r>
      </w:hyperlink>
    </w:p>
    <w:p>
      <w:pPr>
        <w:spacing w:after="0" w:line="25" w:lineRule="exact"/>
        <w:rPr>
          <w:sz w:val="20"/>
          <w:szCs w:val="20"/>
          <w:color w:val="auto"/>
        </w:rPr>
      </w:pPr>
    </w:p>
    <w:p>
      <w:pPr>
        <w:ind w:left="1520" w:right="14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3.2 —</w:t>
      </w:r>
      <w:r>
        <w:rPr>
          <w:sz w:val="20"/>
          <w:szCs w:val="20"/>
          <w:color w:val="auto"/>
        </w:rPr>
        <w:tab/>
      </w:r>
      <w:hyperlink r:id="rId257">
        <w:r>
          <w:rPr>
            <w:rFonts w:ascii="Arial" w:cs="Arial" w:eastAsia="Arial" w:hAnsi="Arial"/>
            <w:sz w:val="16"/>
            <w:szCs w:val="16"/>
            <w:u w:val="single" w:color="auto"/>
            <w:color w:val="0000FF"/>
          </w:rPr>
          <w:t>Amended and Restated Certificate of Designations of Series E Junior Participating Cumulative Preferred Stock of Boston Properties, Inc.</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(Incorporated by reference to Exhibit 3.1 to Boston Properties, Inc.’s Current Report on Form 8-K filed on June 18, 2007.)</w:t>
        </w:r>
      </w:hyperlink>
    </w:p>
    <w:p>
      <w:pPr>
        <w:spacing w:after="0" w:line="25" w:lineRule="exact"/>
        <w:rPr>
          <w:sz w:val="20"/>
          <w:szCs w:val="20"/>
          <w:color w:val="auto"/>
        </w:rPr>
      </w:pPr>
    </w:p>
    <w:p>
      <w:pPr>
        <w:ind w:left="1520" w:right="24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3.3 —</w:t>
      </w:r>
      <w:r>
        <w:rPr>
          <w:sz w:val="20"/>
          <w:szCs w:val="20"/>
          <w:color w:val="auto"/>
        </w:rPr>
        <w:tab/>
      </w:r>
      <w:hyperlink r:id="rId258">
        <w:r>
          <w:rPr>
            <w:rFonts w:ascii="Arial" w:cs="Arial" w:eastAsia="Arial" w:hAnsi="Arial"/>
            <w:sz w:val="16"/>
            <w:szCs w:val="16"/>
            <w:u w:val="single" w:color="auto"/>
            <w:color w:val="0000FF"/>
          </w:rPr>
          <w:t>Certificate of Amendment of Amended and Restated Certificate of Incorporation of Boston Properties, Inc. (Incorporated by reference to</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Exhibit 3.1 to Boston Properties, Inc.’s Current Report on Form 8-K filed on May 20, 2010.)</w:t>
        </w:r>
      </w:hyperlink>
    </w:p>
    <w:p>
      <w:pPr>
        <w:spacing w:after="0" w:line="25" w:lineRule="exact"/>
        <w:rPr>
          <w:sz w:val="20"/>
          <w:szCs w:val="20"/>
          <w:color w:val="auto"/>
        </w:rPr>
      </w:pPr>
    </w:p>
    <w:p>
      <w:pPr>
        <w:ind w:left="1520" w:right="260" w:hanging="764"/>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3.4 —</w:t>
      </w:r>
      <w:r>
        <w:rPr>
          <w:sz w:val="20"/>
          <w:szCs w:val="20"/>
          <w:color w:val="auto"/>
        </w:rPr>
        <w:tab/>
      </w:r>
      <w:hyperlink r:id="rId259">
        <w:r>
          <w:rPr>
            <w:rFonts w:ascii="Arial" w:cs="Arial" w:eastAsia="Arial" w:hAnsi="Arial"/>
            <w:sz w:val="15"/>
            <w:szCs w:val="15"/>
            <w:u w:val="single" w:color="auto"/>
            <w:color w:val="0000FF"/>
          </w:rPr>
          <w:t>Certificate of Designations of 92,000 shares of 5.25% Series B Cumulative Redeemable Preferred Stock of Boston Properties, Inc.</w:t>
        </w:r>
      </w:hyperlink>
      <w:r>
        <w:rPr>
          <w:rFonts w:ascii="Arial" w:cs="Arial" w:eastAsia="Arial" w:hAnsi="Arial"/>
          <w:sz w:val="15"/>
          <w:szCs w:val="15"/>
          <w:u w:val="single" w:color="auto"/>
          <w:color w:val="0000FF"/>
        </w:rPr>
        <w:t xml:space="preserve"> </w:t>
      </w:r>
      <w:hyperlink r:id="rId259">
        <w:r>
          <w:rPr>
            <w:rFonts w:ascii="Arial" w:cs="Arial" w:eastAsia="Arial" w:hAnsi="Arial"/>
            <w:sz w:val="15"/>
            <w:szCs w:val="15"/>
            <w:u w:val="single" w:color="auto"/>
            <w:color w:val="0000FF"/>
          </w:rPr>
          <w:t>(Incorporated by reference to Exhibit 3.3 to the Registration Statement on Form 8-A of Boston Properties, Inc. filed on March 22, 2013.)</w:t>
        </w:r>
      </w:hyperlink>
    </w:p>
    <w:p>
      <w:pPr>
        <w:spacing w:after="0" w:line="25" w:lineRule="exact"/>
        <w:rPr>
          <w:sz w:val="20"/>
          <w:szCs w:val="20"/>
          <w:color w:val="auto"/>
        </w:rPr>
      </w:pPr>
    </w:p>
    <w:p>
      <w:pPr>
        <w:ind w:left="152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3.5 —</w:t>
      </w:r>
      <w:r>
        <w:rPr>
          <w:sz w:val="20"/>
          <w:szCs w:val="20"/>
          <w:color w:val="auto"/>
        </w:rPr>
        <w:tab/>
      </w:r>
      <w:hyperlink r:id="rId260">
        <w:r>
          <w:rPr>
            <w:rFonts w:ascii="Arial" w:cs="Arial" w:eastAsia="Arial" w:hAnsi="Arial"/>
            <w:sz w:val="16"/>
            <w:szCs w:val="16"/>
            <w:u w:val="single" w:color="auto"/>
            <w:color w:val="0000FF"/>
          </w:rPr>
          <w:t>Third Amended and Restated By-laws of Boston Properties, Inc. (Incorporated by reference to Exhibit 3.1 to the Current Report on Form 8-</w:t>
        </w:r>
      </w:hyperlink>
      <w:hyperlink r:id="rId260">
        <w:r>
          <w:rPr>
            <w:rFonts w:ascii="Arial" w:cs="Arial" w:eastAsia="Arial" w:hAnsi="Arial"/>
            <w:sz w:val="16"/>
            <w:szCs w:val="16"/>
            <w:u w:val="single" w:color="auto"/>
            <w:color w:val="0000FF"/>
          </w:rPr>
          <w:t>K of Boston Properties, Inc. filed on May 19, 2016.)</w:t>
        </w:r>
      </w:hyperlink>
    </w:p>
    <w:p>
      <w:pPr>
        <w:spacing w:after="0" w:line="25" w:lineRule="exact"/>
        <w:rPr>
          <w:sz w:val="20"/>
          <w:szCs w:val="20"/>
          <w:color w:val="auto"/>
        </w:rPr>
      </w:pPr>
    </w:p>
    <w:p>
      <w:pPr>
        <w:ind w:left="1520" w:right="42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3.6 —</w:t>
      </w:r>
      <w:r>
        <w:rPr>
          <w:sz w:val="20"/>
          <w:szCs w:val="20"/>
          <w:color w:val="auto"/>
        </w:rPr>
        <w:tab/>
      </w:r>
      <w:hyperlink r:id="rId261">
        <w:r>
          <w:rPr>
            <w:rFonts w:ascii="Arial" w:cs="Arial" w:eastAsia="Arial" w:hAnsi="Arial"/>
            <w:sz w:val="16"/>
            <w:szCs w:val="16"/>
            <w:u w:val="single" w:color="auto"/>
            <w:color w:val="0000FF"/>
          </w:rPr>
          <w:t>Amendment No. 1 to Third Amended and Restated By-laws of Boston Properties, Inc. (Incorporated by reference to Exhibit 3.1 to the</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Current Report on Form 8-K of Boston Properties, Inc. and Boston Properties Limited Partnership filed on March 24, 2020.)</w:t>
        </w:r>
      </w:hyperlink>
    </w:p>
    <w:p>
      <w:pPr>
        <w:spacing w:after="0" w:line="25" w:lineRule="exact"/>
        <w:rPr>
          <w:sz w:val="20"/>
          <w:szCs w:val="20"/>
          <w:color w:val="auto"/>
        </w:rPr>
      </w:pPr>
    </w:p>
    <w:p>
      <w:pPr>
        <w:ind w:left="1520" w:right="24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3.7 —</w:t>
      </w:r>
      <w:r>
        <w:rPr>
          <w:sz w:val="20"/>
          <w:szCs w:val="20"/>
          <w:color w:val="auto"/>
        </w:rPr>
        <w:tab/>
      </w:r>
      <w:hyperlink r:id="rId262">
        <w:r>
          <w:rPr>
            <w:rFonts w:ascii="Arial" w:cs="Arial" w:eastAsia="Arial" w:hAnsi="Arial"/>
            <w:sz w:val="16"/>
            <w:szCs w:val="16"/>
            <w:u w:val="single" w:color="auto"/>
            <w:color w:val="0000FF"/>
          </w:rPr>
          <w:t>Form of Certificate of Designations for Series A Preferred Stock. (Incorporated by reference to Exhibit 99.26 to Boston Properties, Inc.’s</w:t>
        </w:r>
      </w:hyperlink>
      <w:r>
        <w:rPr>
          <w:rFonts w:ascii="Arial" w:cs="Arial" w:eastAsia="Arial" w:hAnsi="Arial"/>
          <w:sz w:val="16"/>
          <w:szCs w:val="16"/>
          <w:u w:val="single" w:color="auto"/>
          <w:color w:val="0000FF"/>
        </w:rPr>
        <w:t xml:space="preserve"> </w:t>
      </w:r>
      <w:hyperlink r:id="rId262">
        <w:r>
          <w:rPr>
            <w:rFonts w:ascii="Arial" w:cs="Arial" w:eastAsia="Arial" w:hAnsi="Arial"/>
            <w:sz w:val="16"/>
            <w:szCs w:val="16"/>
            <w:u w:val="single" w:color="auto"/>
            <w:color w:val="0000FF"/>
          </w:rPr>
          <w:t>Current Report on Form 8-K filed on November 25, 1998.)</w:t>
        </w:r>
      </w:hyperlink>
    </w:p>
    <w:p>
      <w:pPr>
        <w:spacing w:after="0" w:line="25" w:lineRule="exact"/>
        <w:rPr>
          <w:sz w:val="20"/>
          <w:szCs w:val="20"/>
          <w:color w:val="auto"/>
        </w:rPr>
      </w:pPr>
    </w:p>
    <w:p>
      <w:pPr>
        <w:ind w:left="1520" w:right="16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4.1 —</w:t>
      </w:r>
      <w:r>
        <w:rPr>
          <w:sz w:val="20"/>
          <w:szCs w:val="20"/>
          <w:color w:val="auto"/>
        </w:rPr>
        <w:tab/>
      </w:r>
      <w:hyperlink r:id="rId263">
        <w:r>
          <w:rPr>
            <w:rFonts w:ascii="Arial" w:cs="Arial" w:eastAsia="Arial" w:hAnsi="Arial"/>
            <w:sz w:val="16"/>
            <w:szCs w:val="16"/>
            <w:u w:val="single" w:color="auto"/>
            <w:color w:val="0000FF"/>
          </w:rPr>
          <w:t>Form of Common Stock Certificate. (Incorporated by reference to Exhibit 4.3 to Boston Properties, Inc.’s Registration Statement on Form</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S-11, File No. 333-25279.)</w:t>
        </w:r>
      </w:hyperlink>
    </w:p>
    <w:p>
      <w:pPr>
        <w:spacing w:after="0" w:line="25" w:lineRule="exact"/>
        <w:rPr>
          <w:sz w:val="20"/>
          <w:szCs w:val="20"/>
          <w:color w:val="auto"/>
        </w:rPr>
      </w:pPr>
    </w:p>
    <w:p>
      <w:pPr>
        <w:ind w:left="1520" w:right="40" w:hanging="764"/>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4.2 —</w:t>
      </w:r>
      <w:r>
        <w:rPr>
          <w:sz w:val="20"/>
          <w:szCs w:val="20"/>
          <w:color w:val="auto"/>
        </w:rPr>
        <w:tab/>
      </w:r>
      <w:hyperlink r:id="rId264">
        <w:r>
          <w:rPr>
            <w:rFonts w:ascii="Arial" w:cs="Arial" w:eastAsia="Arial" w:hAnsi="Arial"/>
            <w:sz w:val="16"/>
            <w:szCs w:val="16"/>
            <w:u w:val="single" w:color="auto"/>
            <w:color w:val="0000FF"/>
          </w:rPr>
          <w:t>Description of the Securities of Boston Properties, Inc. and Boston Properties Limited Partnership (Incorporated by reference to Exhibit 4.2</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to the Annual Report on Form 10-K of Boston Properties, Inc and Boston Properties Limited Partnership filed on February 25, 2022.)</w:t>
        </w:r>
      </w:hyperlink>
    </w:p>
    <w:p>
      <w:pPr>
        <w:spacing w:after="0" w:line="25" w:lineRule="exact"/>
        <w:rPr>
          <w:sz w:val="20"/>
          <w:szCs w:val="20"/>
          <w:color w:val="auto"/>
        </w:rPr>
      </w:pPr>
    </w:p>
    <w:p>
      <w:pPr>
        <w:ind w:left="1520" w:right="20" w:hanging="764"/>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4.3 —</w:t>
      </w:r>
      <w:r>
        <w:rPr>
          <w:sz w:val="20"/>
          <w:szCs w:val="20"/>
          <w:color w:val="auto"/>
        </w:rPr>
        <w:tab/>
      </w:r>
      <w:hyperlink r:id="rId265">
        <w:r>
          <w:rPr>
            <w:rFonts w:ascii="Arial" w:cs="Arial" w:eastAsia="Arial" w:hAnsi="Arial"/>
            <w:sz w:val="15"/>
            <w:szCs w:val="15"/>
            <w:u w:val="single" w:color="auto"/>
            <w:color w:val="0000FF"/>
          </w:rPr>
          <w:t>Indenture, dated as of December 13, 2002, by and between Boston Properties Limited Partnership and The Bank of New York, as Trustee.</w:t>
        </w:r>
      </w:hyperlink>
      <w:r>
        <w:rPr>
          <w:rFonts w:ascii="Arial" w:cs="Arial" w:eastAsia="Arial" w:hAnsi="Arial"/>
          <w:sz w:val="15"/>
          <w:szCs w:val="15"/>
          <w:u w:val="single" w:color="auto"/>
          <w:color w:val="0000FF"/>
        </w:rPr>
        <w:t xml:space="preserve"> </w:t>
      </w:r>
      <w:hyperlink r:id="rId265">
        <w:r>
          <w:rPr>
            <w:rFonts w:ascii="Arial" w:cs="Arial" w:eastAsia="Arial" w:hAnsi="Arial"/>
            <w:sz w:val="15"/>
            <w:szCs w:val="15"/>
            <w:u w:val="single" w:color="auto"/>
            <w:color w:val="0000FF"/>
          </w:rPr>
          <w:t>(Incorporated by reference to Exhibit 4.1 to Boston Properties, Inc.’s Current Report on Form 8-K/A filed on December 13, 2002.)</w:t>
        </w:r>
      </w:hyperlink>
    </w:p>
    <w:p>
      <w:pPr>
        <w:spacing w:after="0" w:line="25" w:lineRule="exact"/>
        <w:rPr>
          <w:sz w:val="20"/>
          <w:szCs w:val="20"/>
          <w:color w:val="auto"/>
        </w:rPr>
      </w:pPr>
    </w:p>
    <w:p>
      <w:pPr>
        <w:ind w:left="1520" w:right="20" w:hanging="764"/>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4.4 —</w:t>
      </w:r>
      <w:r>
        <w:rPr>
          <w:sz w:val="20"/>
          <w:szCs w:val="20"/>
          <w:color w:val="auto"/>
        </w:rPr>
        <w:tab/>
      </w:r>
      <w:hyperlink r:id="rId266">
        <w:r>
          <w:rPr>
            <w:rFonts w:ascii="Arial" w:cs="Arial" w:eastAsia="Arial" w:hAnsi="Arial"/>
            <w:sz w:val="15"/>
            <w:szCs w:val="15"/>
            <w:u w:val="single" w:color="auto"/>
            <w:color w:val="0000FF"/>
          </w:rPr>
          <w:t>Supplemental Indenture No. 13, dated as of April 11, 2013, between Boston Properties Limited Partnership and The Bank of New York</w:t>
        </w:r>
      </w:hyperlink>
      <w:r>
        <w:rPr>
          <w:rFonts w:ascii="Arial" w:cs="Arial" w:eastAsia="Arial" w:hAnsi="Arial"/>
          <w:sz w:val="15"/>
          <w:szCs w:val="15"/>
          <w:u w:val="single" w:color="auto"/>
          <w:color w:val="0000FF"/>
        </w:rPr>
        <w:t xml:space="preserve"> </w:t>
      </w:r>
      <w:hyperlink r:id="rId266">
        <w:r>
          <w:rPr>
            <w:rFonts w:ascii="Arial" w:cs="Arial" w:eastAsia="Arial" w:hAnsi="Arial"/>
            <w:sz w:val="15"/>
            <w:szCs w:val="15"/>
            <w:u w:val="single" w:color="auto"/>
            <w:color w:val="0000FF"/>
          </w:rPr>
          <w:t>Mellon Trust Company, N.A., as Trustee, including a form of the 3.125% Senior Note due 2023. (Incorporated by reference to Exhibit 4.1 to</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66">
        <w:r>
          <w:rPr>
            <w:rFonts w:ascii="Arial" w:cs="Arial" w:eastAsia="Arial" w:hAnsi="Arial"/>
            <w:sz w:val="16"/>
            <w:szCs w:val="16"/>
            <w:u w:val="single" w:color="auto"/>
            <w:color w:val="0000FF"/>
          </w:rPr>
          <w:t>the Current Report on Form 8-K of Boston Properties Limited Partnership filed on April 11, 2013.)</w:t>
        </w:r>
      </w:hyperlink>
    </w:p>
    <w:p>
      <w:pPr>
        <w:spacing w:after="0" w:line="6" w:lineRule="exact"/>
        <w:rPr>
          <w:sz w:val="20"/>
          <w:szCs w:val="20"/>
          <w:color w:val="auto"/>
        </w:rPr>
      </w:pPr>
    </w:p>
    <w:p>
      <w:pPr>
        <w:ind w:left="1520" w:right="20" w:hanging="764"/>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4.5 —</w:t>
      </w:r>
      <w:r>
        <w:rPr>
          <w:sz w:val="20"/>
          <w:szCs w:val="20"/>
          <w:color w:val="auto"/>
        </w:rPr>
        <w:tab/>
      </w:r>
      <w:hyperlink r:id="rId267">
        <w:r>
          <w:rPr>
            <w:rFonts w:ascii="Arial" w:cs="Arial" w:eastAsia="Arial" w:hAnsi="Arial"/>
            <w:sz w:val="15"/>
            <w:szCs w:val="15"/>
            <w:u w:val="single" w:color="auto"/>
            <w:color w:val="0000FF"/>
          </w:rPr>
          <w:t>Supplemental Indenture No. 14, dated as of June 27, 2013, between Boston Properties Limited Partnership and The Bank of New York</w:t>
        </w:r>
      </w:hyperlink>
      <w:r>
        <w:rPr>
          <w:rFonts w:ascii="Arial" w:cs="Arial" w:eastAsia="Arial" w:hAnsi="Arial"/>
          <w:sz w:val="15"/>
          <w:szCs w:val="15"/>
          <w:u w:val="single" w:color="auto"/>
          <w:color w:val="0000FF"/>
        </w:rPr>
        <w:t xml:space="preserve"> </w:t>
      </w:r>
      <w:hyperlink r:id="rId267">
        <w:r>
          <w:rPr>
            <w:rFonts w:ascii="Arial" w:cs="Arial" w:eastAsia="Arial" w:hAnsi="Arial"/>
            <w:sz w:val="15"/>
            <w:szCs w:val="15"/>
            <w:u w:val="single" w:color="auto"/>
            <w:color w:val="0000FF"/>
          </w:rPr>
          <w:t>Mellon Trust Company, N.A., as Trustee, including a form of the 3.800% Senior Note due 2024. (Incorporated by reference to Exhibit 4.1 to</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the Current Report on Form 8-K of Boston Properties Limited Partnership filed on July 1, 2013.)</w:t>
        </w:r>
      </w:hyperlink>
    </w:p>
    <w:p>
      <w:pPr>
        <w:spacing w:after="0" w:line="6" w:lineRule="exact"/>
        <w:rPr>
          <w:sz w:val="20"/>
          <w:szCs w:val="20"/>
          <w:color w:val="auto"/>
        </w:rPr>
      </w:pPr>
    </w:p>
    <w:p>
      <w:pPr>
        <w:jc w:val="right"/>
        <w:ind w:left="760" w:right="20"/>
        <w:spacing w:after="0" w:line="21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4.6 —     </w:t>
      </w:r>
      <w:hyperlink r:id="rId268">
        <w:r>
          <w:rPr>
            <w:rFonts w:ascii="Arial" w:cs="Arial" w:eastAsia="Arial" w:hAnsi="Arial"/>
            <w:sz w:val="16"/>
            <w:szCs w:val="16"/>
            <w:u w:val="single" w:color="auto"/>
            <w:color w:val="0000FF"/>
          </w:rPr>
          <w:t>Supplemental Indenture No. 15, dated as of January 20, 2016, between Boston Properties Limited Partnership and The Bank of New York</w:t>
        </w:r>
      </w:hyperlink>
      <w:r>
        <w:rPr>
          <w:rFonts w:ascii="Arial" w:cs="Arial" w:eastAsia="Arial" w:hAnsi="Arial"/>
          <w:sz w:val="16"/>
          <w:szCs w:val="16"/>
          <w:color w:val="auto"/>
        </w:rPr>
        <w:t xml:space="preserve"> </w:t>
      </w:r>
      <w:hyperlink r:id="rId268">
        <w:r>
          <w:rPr>
            <w:rFonts w:ascii="Arial" w:cs="Arial" w:eastAsia="Arial" w:hAnsi="Arial"/>
            <w:sz w:val="16"/>
            <w:szCs w:val="16"/>
            <w:u w:val="single" w:color="auto"/>
            <w:color w:val="0000FF"/>
          </w:rPr>
          <w:t>Mellon Trust Company, N.A., as Trustee, including a form of the 3.650% Senior Note due 2026. (Incorporated by reference to Exhibit 4.1 to</w:t>
        </w:r>
      </w:hyperlink>
    </w:p>
    <w:p>
      <w:pPr>
        <w:spacing w:after="0" w:line="1" w:lineRule="exact"/>
        <w:rPr>
          <w:sz w:val="20"/>
          <w:szCs w:val="20"/>
          <w:color w:val="auto"/>
        </w:rPr>
      </w:pPr>
    </w:p>
    <w:p>
      <w:pPr>
        <w:ind w:left="1520"/>
        <w:spacing w:after="0"/>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the Current Report on Form 8-K of Boston Properties Limited Partnership filed on January 20, 2016.)</w:t>
        </w:r>
      </w:hyperlink>
    </w:p>
    <w:p>
      <w:pPr>
        <w:spacing w:after="0" w:line="6" w:lineRule="exact"/>
        <w:rPr>
          <w:sz w:val="20"/>
          <w:szCs w:val="20"/>
          <w:color w:val="auto"/>
        </w:rPr>
      </w:pPr>
    </w:p>
    <w:p>
      <w:pPr>
        <w:ind w:left="1520" w:right="20" w:hanging="764"/>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4.7 —</w:t>
      </w:r>
      <w:r>
        <w:rPr>
          <w:sz w:val="20"/>
          <w:szCs w:val="20"/>
          <w:color w:val="auto"/>
        </w:rPr>
        <w:tab/>
      </w:r>
      <w:hyperlink r:id="rId269">
        <w:r>
          <w:rPr>
            <w:rFonts w:ascii="Arial" w:cs="Arial" w:eastAsia="Arial" w:hAnsi="Arial"/>
            <w:sz w:val="15"/>
            <w:szCs w:val="15"/>
            <w:u w:val="single" w:color="auto"/>
            <w:color w:val="0000FF"/>
          </w:rPr>
          <w:t>Supplemental Indenture No. 16, dated as of August 17, 2016, between Boston Properties Limited Partnership and The Bank of New York</w:t>
        </w:r>
      </w:hyperlink>
      <w:r>
        <w:rPr>
          <w:rFonts w:ascii="Arial" w:cs="Arial" w:eastAsia="Arial" w:hAnsi="Arial"/>
          <w:sz w:val="15"/>
          <w:szCs w:val="15"/>
          <w:u w:val="single" w:color="auto"/>
          <w:color w:val="0000FF"/>
        </w:rPr>
        <w:t xml:space="preserve"> </w:t>
      </w:r>
      <w:hyperlink r:id="rId269">
        <w:r>
          <w:rPr>
            <w:rFonts w:ascii="Arial" w:cs="Arial" w:eastAsia="Arial" w:hAnsi="Arial"/>
            <w:sz w:val="15"/>
            <w:szCs w:val="15"/>
            <w:u w:val="single" w:color="auto"/>
            <w:color w:val="0000FF"/>
          </w:rPr>
          <w:t>Mellon Trust Company, N.A., as Trustee; including a form of the 2.750% Senior Note due 2026. (Incorporated by reference to Exhibit 4.1 to</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the Current Report on Form 8-K of Boston Properties Limited Partnership and Boston Properties, Inc. filed on August 17, 2016.)</w:t>
        </w:r>
      </w:hyperlink>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97" w:name="page198"/>
    <w:bookmarkEnd w:id="1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left="1520" w:right="80" w:hanging="764"/>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4.8 —</w:t>
      </w:r>
      <w:r>
        <w:rPr>
          <w:sz w:val="20"/>
          <w:szCs w:val="20"/>
          <w:color w:val="auto"/>
        </w:rPr>
        <w:tab/>
      </w:r>
      <w:hyperlink r:id="rId271">
        <w:r>
          <w:rPr>
            <w:rFonts w:ascii="Arial" w:cs="Arial" w:eastAsia="Arial" w:hAnsi="Arial"/>
            <w:sz w:val="15"/>
            <w:szCs w:val="15"/>
            <w:u w:val="single" w:color="auto"/>
            <w:color w:val="0000FF"/>
          </w:rPr>
          <w:t>Supplemental Indenture No. 17, dated as of December 4, 2017, between Boston Properties Limited Partnership and The Bank of New</w:t>
        </w:r>
      </w:hyperlink>
      <w:r>
        <w:rPr>
          <w:rFonts w:ascii="Arial" w:cs="Arial" w:eastAsia="Arial" w:hAnsi="Arial"/>
          <w:sz w:val="15"/>
          <w:szCs w:val="15"/>
          <w:u w:val="single" w:color="auto"/>
          <w:color w:val="0000FF"/>
        </w:rPr>
        <w:t xml:space="preserve"> </w:t>
      </w:r>
      <w:hyperlink r:id="rId271">
        <w:r>
          <w:rPr>
            <w:rFonts w:ascii="Arial" w:cs="Arial" w:eastAsia="Arial" w:hAnsi="Arial"/>
            <w:sz w:val="15"/>
            <w:szCs w:val="15"/>
            <w:u w:val="single" w:color="auto"/>
            <w:color w:val="0000FF"/>
          </w:rPr>
          <w:t>York Mellon Trust Company, N.A., as Trustee; including a form of the 3.200% Senior Note due 2025. (Incorporated by reference to Exhibit</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71">
        <w:r>
          <w:rPr>
            <w:rFonts w:ascii="Arial" w:cs="Arial" w:eastAsia="Arial" w:hAnsi="Arial"/>
            <w:sz w:val="16"/>
            <w:szCs w:val="16"/>
            <w:u w:val="single" w:color="auto"/>
            <w:color w:val="0000FF"/>
          </w:rPr>
          <w:t>4.1 to the Current Report on Form 8-K of Boston Properties Limited Partnership and Boston Properties, Inc. filed on December 4, 2017.)</w:t>
        </w:r>
      </w:hyperlink>
    </w:p>
    <w:p>
      <w:pPr>
        <w:spacing w:after="0" w:line="6" w:lineRule="exact"/>
        <w:rPr>
          <w:sz w:val="20"/>
          <w:szCs w:val="20"/>
          <w:color w:val="auto"/>
        </w:rPr>
      </w:pPr>
    </w:p>
    <w:p>
      <w:pPr>
        <w:ind w:left="1520" w:right="80" w:hanging="764"/>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4.9 —</w:t>
      </w:r>
      <w:r>
        <w:rPr>
          <w:sz w:val="20"/>
          <w:szCs w:val="20"/>
          <w:color w:val="auto"/>
        </w:rPr>
        <w:tab/>
      </w:r>
      <w:hyperlink r:id="rId272">
        <w:r>
          <w:rPr>
            <w:rFonts w:ascii="Arial" w:cs="Arial" w:eastAsia="Arial" w:hAnsi="Arial"/>
            <w:sz w:val="15"/>
            <w:szCs w:val="15"/>
            <w:u w:val="single" w:color="auto"/>
            <w:color w:val="0000FF"/>
          </w:rPr>
          <w:t>Supplemental Indenture No. 18, dated as of November 28, 2018, between Boston Properties Limited Partnership and The Bank of New</w:t>
        </w:r>
      </w:hyperlink>
      <w:r>
        <w:rPr>
          <w:rFonts w:ascii="Arial" w:cs="Arial" w:eastAsia="Arial" w:hAnsi="Arial"/>
          <w:sz w:val="15"/>
          <w:szCs w:val="15"/>
          <w:u w:val="single" w:color="auto"/>
          <w:color w:val="0000FF"/>
        </w:rPr>
        <w:t xml:space="preserve"> </w:t>
      </w:r>
      <w:hyperlink r:id="rId272">
        <w:r>
          <w:rPr>
            <w:rFonts w:ascii="Arial" w:cs="Arial" w:eastAsia="Arial" w:hAnsi="Arial"/>
            <w:sz w:val="15"/>
            <w:szCs w:val="15"/>
            <w:u w:val="single" w:color="auto"/>
            <w:color w:val="0000FF"/>
          </w:rPr>
          <w:t>York Mellon Trust Company, N.A., as Trustee; including a form of the 4.500% Senior Note due 2028. (Incorporated by reference to Exhibit</w:t>
        </w:r>
      </w:hyperlink>
    </w:p>
    <w:p>
      <w:pPr>
        <w:spacing w:after="0" w:line="13" w:lineRule="exact"/>
        <w:rPr>
          <w:sz w:val="20"/>
          <w:szCs w:val="20"/>
          <w:color w:val="auto"/>
        </w:rPr>
      </w:pPr>
    </w:p>
    <w:p>
      <w:pPr>
        <w:ind w:left="1520"/>
        <w:spacing w:after="0"/>
        <w:rPr>
          <w:rFonts w:ascii="Arial" w:cs="Arial" w:eastAsia="Arial" w:hAnsi="Arial"/>
          <w:sz w:val="15"/>
          <w:szCs w:val="15"/>
          <w:u w:val="single" w:color="auto"/>
          <w:color w:val="0000FF"/>
        </w:rPr>
      </w:pPr>
      <w:hyperlink r:id="rId272">
        <w:r>
          <w:rPr>
            <w:rFonts w:ascii="Arial" w:cs="Arial" w:eastAsia="Arial" w:hAnsi="Arial"/>
            <w:sz w:val="15"/>
            <w:szCs w:val="15"/>
            <w:u w:val="single" w:color="auto"/>
            <w:color w:val="0000FF"/>
          </w:rPr>
          <w:t>4.1 to the Current Report on Form 8-K of Boston Properties Limited Partnership and Boston Properties, Inc. filed on November 28, 2018.)</w:t>
        </w:r>
      </w:hyperlink>
    </w:p>
    <w:p>
      <w:pPr>
        <w:spacing w:after="0" w:line="17" w:lineRule="exact"/>
        <w:rPr>
          <w:sz w:val="20"/>
          <w:szCs w:val="20"/>
          <w:color w:val="auto"/>
        </w:rPr>
      </w:pPr>
    </w:p>
    <w:p>
      <w:pPr>
        <w:ind w:left="152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4.10 —</w:t>
      </w:r>
      <w:r>
        <w:rPr>
          <w:sz w:val="20"/>
          <w:szCs w:val="20"/>
          <w:color w:val="auto"/>
        </w:rPr>
        <w:tab/>
      </w:r>
      <w:hyperlink r:id="rId273">
        <w:r>
          <w:rPr>
            <w:rFonts w:ascii="Arial" w:cs="Arial" w:eastAsia="Arial" w:hAnsi="Arial"/>
            <w:sz w:val="15"/>
            <w:szCs w:val="15"/>
            <w:u w:val="single" w:color="auto"/>
            <w:color w:val="0000FF"/>
          </w:rPr>
          <w:t>Supplemental Indenture No. 19, dated as of June 21, 2019, between Boston Properties Limited Partnership and The Bank of New York</w:t>
        </w:r>
      </w:hyperlink>
      <w:r>
        <w:rPr>
          <w:rFonts w:ascii="Arial" w:cs="Arial" w:eastAsia="Arial" w:hAnsi="Arial"/>
          <w:sz w:val="15"/>
          <w:szCs w:val="15"/>
          <w:u w:val="single" w:color="auto"/>
          <w:color w:val="0000FF"/>
        </w:rPr>
        <w:t xml:space="preserve"> </w:t>
      </w:r>
      <w:hyperlink r:id="rId273">
        <w:r>
          <w:rPr>
            <w:rFonts w:ascii="Arial" w:cs="Arial" w:eastAsia="Arial" w:hAnsi="Arial"/>
            <w:sz w:val="15"/>
            <w:szCs w:val="15"/>
            <w:u w:val="single" w:color="auto"/>
            <w:color w:val="0000FF"/>
          </w:rPr>
          <w:t>Mellon Trust Company, N.A., as Trustee; including a form of the 3.400% Senior Note due 2029. (Incorporated by reference to Exhibit 4.1 to</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73">
        <w:r>
          <w:rPr>
            <w:rFonts w:ascii="Arial" w:cs="Arial" w:eastAsia="Arial" w:hAnsi="Arial"/>
            <w:sz w:val="16"/>
            <w:szCs w:val="16"/>
            <w:u w:val="single" w:color="auto"/>
            <w:color w:val="0000FF"/>
          </w:rPr>
          <w:t>the Current Report on Form 8-K of Boston Properties Limited Partnership and Boston Properties, Inc. filed on June 21, 2019.)</w:t>
        </w:r>
      </w:hyperlink>
    </w:p>
    <w:p>
      <w:pPr>
        <w:spacing w:after="0" w:line="6" w:lineRule="exact"/>
        <w:rPr>
          <w:sz w:val="20"/>
          <w:szCs w:val="20"/>
          <w:color w:val="auto"/>
        </w:rPr>
      </w:pPr>
    </w:p>
    <w:p>
      <w:pPr>
        <w:ind w:left="1520" w:right="8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4.11 —</w:t>
      </w:r>
      <w:r>
        <w:rPr>
          <w:sz w:val="20"/>
          <w:szCs w:val="20"/>
          <w:color w:val="auto"/>
        </w:rPr>
        <w:tab/>
      </w:r>
      <w:hyperlink r:id="rId274">
        <w:r>
          <w:rPr>
            <w:rFonts w:ascii="Arial" w:cs="Arial" w:eastAsia="Arial" w:hAnsi="Arial"/>
            <w:sz w:val="15"/>
            <w:szCs w:val="15"/>
            <w:u w:val="single" w:color="auto"/>
            <w:color w:val="0000FF"/>
          </w:rPr>
          <w:t>Supplemental Indenture No. 20, dated as of September 3, 2019, between Boston Properties Limited Partnership and The Bank of New</w:t>
        </w:r>
      </w:hyperlink>
      <w:r>
        <w:rPr>
          <w:rFonts w:ascii="Arial" w:cs="Arial" w:eastAsia="Arial" w:hAnsi="Arial"/>
          <w:sz w:val="15"/>
          <w:szCs w:val="15"/>
          <w:u w:val="single" w:color="auto"/>
          <w:color w:val="0000FF"/>
        </w:rPr>
        <w:t xml:space="preserve"> </w:t>
      </w:r>
      <w:hyperlink r:id="rId274">
        <w:r>
          <w:rPr>
            <w:rFonts w:ascii="Arial" w:cs="Arial" w:eastAsia="Arial" w:hAnsi="Arial"/>
            <w:sz w:val="15"/>
            <w:szCs w:val="15"/>
            <w:u w:val="single" w:color="auto"/>
            <w:color w:val="0000FF"/>
          </w:rPr>
          <w:t>York Mellon Trust Company, N.A., as Trustee; including a form of the 2.900% Senior Note due 2030. (Incorporated by reference to Exhibit</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74">
        <w:r>
          <w:rPr>
            <w:rFonts w:ascii="Arial" w:cs="Arial" w:eastAsia="Arial" w:hAnsi="Arial"/>
            <w:sz w:val="16"/>
            <w:szCs w:val="16"/>
            <w:u w:val="single" w:color="auto"/>
            <w:color w:val="0000FF"/>
          </w:rPr>
          <w:t>4.1 to the Current Report on Form 8-K of Boston Properties Limited Partnership and Boston Properties, Inc. filed on September 3, 2019.)</w:t>
        </w:r>
      </w:hyperlink>
    </w:p>
    <w:p>
      <w:pPr>
        <w:spacing w:after="0" w:line="17" w:lineRule="exact"/>
        <w:rPr>
          <w:sz w:val="20"/>
          <w:szCs w:val="20"/>
          <w:color w:val="auto"/>
        </w:rPr>
      </w:pPr>
    </w:p>
    <w:p>
      <w:pPr>
        <w:ind w:left="152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4.12 —</w:t>
      </w:r>
      <w:r>
        <w:rPr>
          <w:sz w:val="20"/>
          <w:szCs w:val="20"/>
          <w:color w:val="auto"/>
        </w:rPr>
        <w:tab/>
      </w:r>
      <w:hyperlink r:id="rId275">
        <w:r>
          <w:rPr>
            <w:rFonts w:ascii="Arial" w:cs="Arial" w:eastAsia="Arial" w:hAnsi="Arial"/>
            <w:sz w:val="15"/>
            <w:szCs w:val="15"/>
            <w:u w:val="single" w:color="auto"/>
            <w:color w:val="0000FF"/>
          </w:rPr>
          <w:t>Supplemental Indenture No. 21, dated as of May 5, 2020, between Boston Properties Limited Partnership and The Bank of New York</w:t>
        </w:r>
      </w:hyperlink>
      <w:r>
        <w:rPr>
          <w:rFonts w:ascii="Arial" w:cs="Arial" w:eastAsia="Arial" w:hAnsi="Arial"/>
          <w:sz w:val="15"/>
          <w:szCs w:val="15"/>
          <w:u w:val="single" w:color="auto"/>
          <w:color w:val="0000FF"/>
        </w:rPr>
        <w:t xml:space="preserve"> </w:t>
      </w:r>
      <w:hyperlink r:id="rId275">
        <w:r>
          <w:rPr>
            <w:rFonts w:ascii="Arial" w:cs="Arial" w:eastAsia="Arial" w:hAnsi="Arial"/>
            <w:sz w:val="15"/>
            <w:szCs w:val="15"/>
            <w:u w:val="single" w:color="auto"/>
            <w:color w:val="0000FF"/>
          </w:rPr>
          <w:t>Mellon Trust Company, N.A., as Trustee; including a form of the 3.250% Senior Note due 2031. (Incorporated by reference to Exhibit 4.1 to</w:t>
        </w:r>
      </w:hyperlink>
    </w:p>
    <w:p>
      <w:pPr>
        <w:spacing w:after="0" w:line="1" w:lineRule="exact"/>
        <w:rPr>
          <w:sz w:val="20"/>
          <w:szCs w:val="20"/>
          <w:color w:val="auto"/>
        </w:rPr>
      </w:pPr>
    </w:p>
    <w:p>
      <w:pPr>
        <w:jc w:val="center"/>
        <w:ind w:left="420"/>
        <w:spacing w:after="0"/>
        <w:rPr>
          <w:rFonts w:ascii="Arial" w:cs="Arial" w:eastAsia="Arial" w:hAnsi="Arial"/>
          <w:sz w:val="16"/>
          <w:szCs w:val="16"/>
          <w:u w:val="single" w:color="auto"/>
          <w:color w:val="0000FF"/>
        </w:rPr>
      </w:pPr>
      <w:hyperlink r:id="rId275">
        <w:r>
          <w:rPr>
            <w:rFonts w:ascii="Arial" w:cs="Arial" w:eastAsia="Arial" w:hAnsi="Arial"/>
            <w:sz w:val="16"/>
            <w:szCs w:val="16"/>
            <w:u w:val="single" w:color="auto"/>
            <w:color w:val="0000FF"/>
          </w:rPr>
          <w:t>the Current Report on Form 8-K of Boston Properties, Inc. and Boston Properties Limited Partnership filed on May 5, 2020.)</w:t>
        </w:r>
      </w:hyperlink>
    </w:p>
    <w:p>
      <w:pPr>
        <w:spacing w:after="0" w:line="17" w:lineRule="exact"/>
        <w:rPr>
          <w:sz w:val="20"/>
          <w:szCs w:val="20"/>
          <w:color w:val="auto"/>
        </w:rPr>
      </w:pPr>
    </w:p>
    <w:p>
      <w:pPr>
        <w:ind w:left="152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4.13 —</w:t>
      </w:r>
      <w:r>
        <w:rPr>
          <w:sz w:val="20"/>
          <w:szCs w:val="20"/>
          <w:color w:val="auto"/>
        </w:rPr>
        <w:tab/>
      </w:r>
      <w:hyperlink r:id="rId276">
        <w:r>
          <w:rPr>
            <w:rFonts w:ascii="Arial" w:cs="Arial" w:eastAsia="Arial" w:hAnsi="Arial"/>
            <w:sz w:val="15"/>
            <w:szCs w:val="15"/>
            <w:u w:val="single" w:color="auto"/>
            <w:color w:val="0000FF"/>
          </w:rPr>
          <w:t>Supplemental Indenture No. 22, dated as of March 16, 2021, between Boston Properties Limited Partnership and The Bank of New York</w:t>
        </w:r>
      </w:hyperlink>
      <w:r>
        <w:rPr>
          <w:rFonts w:ascii="Arial" w:cs="Arial" w:eastAsia="Arial" w:hAnsi="Arial"/>
          <w:sz w:val="15"/>
          <w:szCs w:val="15"/>
          <w:u w:val="single" w:color="auto"/>
          <w:color w:val="0000FF"/>
        </w:rPr>
        <w:t xml:space="preserve"> </w:t>
      </w:r>
      <w:hyperlink r:id="rId276">
        <w:r>
          <w:rPr>
            <w:rFonts w:ascii="Arial" w:cs="Arial" w:eastAsia="Arial" w:hAnsi="Arial"/>
            <w:sz w:val="15"/>
            <w:szCs w:val="15"/>
            <w:u w:val="single" w:color="auto"/>
            <w:color w:val="0000FF"/>
          </w:rPr>
          <w:t>Mellon Trust Company, N.A., as Trustee; including a form of the 2.550% Senior Note due 2032. (Incorporated by reference to Exhibit 4.1 to</w:t>
        </w:r>
      </w:hyperlink>
    </w:p>
    <w:p>
      <w:pPr>
        <w:spacing w:after="0" w:line="1" w:lineRule="exact"/>
        <w:rPr>
          <w:sz w:val="20"/>
          <w:szCs w:val="20"/>
          <w:color w:val="auto"/>
        </w:rPr>
      </w:pPr>
    </w:p>
    <w:p>
      <w:pPr>
        <w:ind w:left="1520"/>
        <w:spacing w:after="0"/>
        <w:rPr>
          <w:rFonts w:ascii="Arial" w:cs="Arial" w:eastAsia="Arial" w:hAnsi="Arial"/>
          <w:sz w:val="16"/>
          <w:szCs w:val="16"/>
          <w:u w:val="single" w:color="auto"/>
          <w:color w:val="0000FF"/>
        </w:rPr>
      </w:pPr>
      <w:hyperlink r:id="rId276">
        <w:r>
          <w:rPr>
            <w:rFonts w:ascii="Arial" w:cs="Arial" w:eastAsia="Arial" w:hAnsi="Arial"/>
            <w:sz w:val="16"/>
            <w:szCs w:val="16"/>
            <w:u w:val="single" w:color="auto"/>
            <w:color w:val="0000FF"/>
          </w:rPr>
          <w:t>the Current Report on Form 8-K of Boston Properties, Inc. and Boston Properties Limited Partnership filed on March 16, 2021.)</w:t>
        </w:r>
      </w:hyperlink>
    </w:p>
    <w:p>
      <w:pPr>
        <w:spacing w:after="0" w:line="17" w:lineRule="exact"/>
        <w:rPr>
          <w:sz w:val="20"/>
          <w:szCs w:val="20"/>
          <w:color w:val="auto"/>
        </w:rPr>
      </w:pPr>
    </w:p>
    <w:p>
      <w:pPr>
        <w:ind w:left="1520" w:right="8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4.14 —</w:t>
      </w:r>
      <w:r>
        <w:rPr>
          <w:sz w:val="20"/>
          <w:szCs w:val="20"/>
          <w:color w:val="auto"/>
        </w:rPr>
        <w:tab/>
      </w:r>
      <w:hyperlink r:id="rId277">
        <w:r>
          <w:rPr>
            <w:rFonts w:ascii="Arial" w:cs="Arial" w:eastAsia="Arial" w:hAnsi="Arial"/>
            <w:sz w:val="15"/>
            <w:szCs w:val="15"/>
            <w:u w:val="single" w:color="auto"/>
            <w:color w:val="0000FF"/>
          </w:rPr>
          <w:t>Supplemental Indenture No. 23, dated as of September 29, 2021, between Boston Properties Limited Partnership and The Bank of New</w:t>
        </w:r>
      </w:hyperlink>
      <w:r>
        <w:rPr>
          <w:rFonts w:ascii="Arial" w:cs="Arial" w:eastAsia="Arial" w:hAnsi="Arial"/>
          <w:sz w:val="15"/>
          <w:szCs w:val="15"/>
          <w:u w:val="single" w:color="auto"/>
          <w:color w:val="0000FF"/>
        </w:rPr>
        <w:t xml:space="preserve"> </w:t>
      </w:r>
      <w:hyperlink r:id="rId277">
        <w:r>
          <w:rPr>
            <w:rFonts w:ascii="Arial" w:cs="Arial" w:eastAsia="Arial" w:hAnsi="Arial"/>
            <w:sz w:val="15"/>
            <w:szCs w:val="15"/>
            <w:u w:val="single" w:color="auto"/>
            <w:color w:val="0000FF"/>
          </w:rPr>
          <w:t>York Mellon Trust Company, N.A., as Trustee; including a form of the 2.450% Senior Note due 2033. (Incorporated by reference to Exhibit</w:t>
        </w:r>
      </w:hyperlink>
    </w:p>
    <w:p>
      <w:pPr>
        <w:spacing w:after="0" w:line="1" w:lineRule="exact"/>
        <w:rPr>
          <w:sz w:val="20"/>
          <w:szCs w:val="20"/>
          <w:color w:val="auto"/>
        </w:rPr>
      </w:pPr>
    </w:p>
    <w:p>
      <w:pPr>
        <w:ind w:left="1520"/>
        <w:spacing w:after="0"/>
        <w:rPr>
          <w:rFonts w:ascii="Arial" w:cs="Arial" w:eastAsia="Arial" w:hAnsi="Arial"/>
          <w:sz w:val="15"/>
          <w:szCs w:val="15"/>
          <w:u w:val="single" w:color="auto"/>
          <w:color w:val="0000FF"/>
        </w:rPr>
      </w:pPr>
      <w:hyperlink r:id="rId277">
        <w:r>
          <w:rPr>
            <w:rFonts w:ascii="Arial" w:cs="Arial" w:eastAsia="Arial" w:hAnsi="Arial"/>
            <w:sz w:val="15"/>
            <w:szCs w:val="15"/>
            <w:u w:val="single" w:color="auto"/>
            <w:color w:val="0000FF"/>
          </w:rPr>
          <w:t>4.1 to the Current Report on Form 8-K of Boston Properties, Inc. and Boston Properties Limited Partnership filed on September 29, 2021.)</w:t>
        </w:r>
      </w:hyperlink>
    </w:p>
    <w:p>
      <w:pPr>
        <w:spacing w:after="0" w:line="29" w:lineRule="exact"/>
        <w:rPr>
          <w:sz w:val="20"/>
          <w:szCs w:val="20"/>
          <w:color w:val="auto"/>
        </w:rPr>
      </w:pPr>
    </w:p>
    <w:p>
      <w:pPr>
        <w:ind w:left="1520" w:right="8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4.15 —</w:t>
      </w:r>
      <w:r>
        <w:rPr>
          <w:sz w:val="20"/>
          <w:szCs w:val="20"/>
          <w:color w:val="auto"/>
        </w:rPr>
        <w:tab/>
      </w:r>
      <w:hyperlink r:id="rId278">
        <w:r>
          <w:rPr>
            <w:rFonts w:ascii="Arial" w:cs="Arial" w:eastAsia="Arial" w:hAnsi="Arial"/>
            <w:sz w:val="15"/>
            <w:szCs w:val="15"/>
            <w:u w:val="single" w:color="auto"/>
            <w:color w:val="0000FF"/>
          </w:rPr>
          <w:t>Supplemental Indenture No. 24, dated as of November 17, 2022, between Boston Properties Limited Partnership and The Bank of New</w:t>
        </w:r>
      </w:hyperlink>
      <w:r>
        <w:rPr>
          <w:rFonts w:ascii="Arial" w:cs="Arial" w:eastAsia="Arial" w:hAnsi="Arial"/>
          <w:sz w:val="15"/>
          <w:szCs w:val="15"/>
          <w:u w:val="single" w:color="auto"/>
          <w:color w:val="0000FF"/>
        </w:rPr>
        <w:t xml:space="preserve"> </w:t>
      </w:r>
      <w:hyperlink r:id="rId278">
        <w:r>
          <w:rPr>
            <w:rFonts w:ascii="Arial" w:cs="Arial" w:eastAsia="Arial" w:hAnsi="Arial"/>
            <w:sz w:val="15"/>
            <w:szCs w:val="15"/>
            <w:u w:val="single" w:color="auto"/>
            <w:color w:val="0000FF"/>
          </w:rPr>
          <w:t>York Mellon Trust Company, N.A., as Trustee; including a form of the 6.750% Senior Note due 2027. (Incorporated by reference to Exhibit</w:t>
        </w:r>
      </w:hyperlink>
    </w:p>
    <w:p>
      <w:pPr>
        <w:spacing w:after="0" w:line="1" w:lineRule="exact"/>
        <w:rPr>
          <w:sz w:val="20"/>
          <w:szCs w:val="20"/>
          <w:color w:val="auto"/>
        </w:rPr>
      </w:pPr>
    </w:p>
    <w:p>
      <w:pPr>
        <w:ind w:left="1520"/>
        <w:spacing w:after="0"/>
        <w:rPr>
          <w:rFonts w:ascii="Arial" w:cs="Arial" w:eastAsia="Arial" w:hAnsi="Arial"/>
          <w:sz w:val="15"/>
          <w:szCs w:val="15"/>
          <w:u w:val="single" w:color="auto"/>
          <w:color w:val="0000FF"/>
        </w:rPr>
      </w:pPr>
      <w:hyperlink r:id="rId278">
        <w:r>
          <w:rPr>
            <w:rFonts w:ascii="Arial" w:cs="Arial" w:eastAsia="Arial" w:hAnsi="Arial"/>
            <w:sz w:val="15"/>
            <w:szCs w:val="15"/>
            <w:u w:val="single" w:color="auto"/>
            <w:color w:val="0000FF"/>
          </w:rPr>
          <w:t>4.1 to the Current Report on Form 8-K of Boston Properties, Inc. and Boston Properties Limited Partnership filed on November 17, 2022.)</w:t>
        </w:r>
      </w:hyperlink>
    </w:p>
    <w:p>
      <w:pPr>
        <w:spacing w:after="0" w:line="17" w:lineRule="exact"/>
        <w:rPr>
          <w:sz w:val="20"/>
          <w:szCs w:val="20"/>
          <w:color w:val="auto"/>
        </w:rPr>
      </w:pPr>
    </w:p>
    <w:p>
      <w:pPr>
        <w:ind w:left="1520" w:right="200" w:hanging="852"/>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 —</w:t>
      </w:r>
      <w:r>
        <w:rPr>
          <w:sz w:val="20"/>
          <w:szCs w:val="20"/>
          <w:color w:val="auto"/>
        </w:rPr>
        <w:tab/>
      </w:r>
      <w:hyperlink r:id="rId279">
        <w:r>
          <w:rPr>
            <w:rFonts w:ascii="Arial" w:cs="Arial" w:eastAsia="Arial" w:hAnsi="Arial"/>
            <w:sz w:val="16"/>
            <w:szCs w:val="16"/>
            <w:u w:val="single" w:color="auto"/>
            <w:color w:val="0000FF"/>
          </w:rPr>
          <w:t>Second Amended and Restated Agreement of Limited Partnership of Boston Properties Limited Partnership, dated as of June 29, 1998.</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(Incorporated by reference to Exhibit 99.1 to Boston Properties, Inc.’s Current Report on Form 8-K filed on July 15, 1998.)</w:t>
        </w:r>
      </w:hyperlink>
    </w:p>
    <w:p>
      <w:pPr>
        <w:spacing w:after="0" w:line="25" w:lineRule="exact"/>
        <w:rPr>
          <w:sz w:val="20"/>
          <w:szCs w:val="20"/>
          <w:color w:val="auto"/>
        </w:rPr>
      </w:pPr>
    </w:p>
    <w:p>
      <w:pPr>
        <w:ind w:left="1520" w:right="10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 —</w:t>
      </w:r>
      <w:r>
        <w:rPr>
          <w:sz w:val="20"/>
          <w:szCs w:val="20"/>
          <w:color w:val="auto"/>
        </w:rPr>
        <w:tab/>
      </w:r>
      <w:hyperlink r:id="rId280">
        <w:r>
          <w:rPr>
            <w:rFonts w:ascii="Arial" w:cs="Arial" w:eastAsia="Arial" w:hAnsi="Arial"/>
            <w:sz w:val="15"/>
            <w:szCs w:val="15"/>
            <w:u w:val="single" w:color="auto"/>
            <w:color w:val="0000FF"/>
          </w:rPr>
          <w:t>Certificate of Designations for the Series Four Preferred Units, dated as of August 29, 2012, constituting an amendment to the Second</w:t>
        </w:r>
      </w:hyperlink>
      <w:r>
        <w:rPr>
          <w:rFonts w:ascii="Arial" w:cs="Arial" w:eastAsia="Arial" w:hAnsi="Arial"/>
          <w:sz w:val="15"/>
          <w:szCs w:val="15"/>
          <w:u w:val="single" w:color="auto"/>
          <w:color w:val="0000FF"/>
        </w:rPr>
        <w:t xml:space="preserve"> </w:t>
      </w:r>
      <w:hyperlink r:id="rId280">
        <w:r>
          <w:rPr>
            <w:rFonts w:ascii="Arial" w:cs="Arial" w:eastAsia="Arial" w:hAnsi="Arial"/>
            <w:sz w:val="15"/>
            <w:szCs w:val="15"/>
            <w:u w:val="single" w:color="auto"/>
            <w:color w:val="0000FF"/>
          </w:rPr>
          <w:t>Amended and Restated Agreement of Limited Partnership of Boston Properties Limited Partnership. (Incorporated by reference to Exhibit</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0">
        <w:r>
          <w:rPr>
            <w:rFonts w:ascii="Arial" w:cs="Arial" w:eastAsia="Arial" w:hAnsi="Arial"/>
            <w:sz w:val="16"/>
            <w:szCs w:val="16"/>
            <w:u w:val="single" w:color="auto"/>
            <w:color w:val="0000FF"/>
          </w:rPr>
          <w:t>10.1 to the Quarterly Report on Form 10-Q of Boston Properties, Inc. filed on November 8, 2012.)</w:t>
        </w:r>
      </w:hyperlink>
    </w:p>
    <w:p>
      <w:pPr>
        <w:spacing w:after="0" w:line="6" w:lineRule="exact"/>
        <w:rPr>
          <w:sz w:val="20"/>
          <w:szCs w:val="20"/>
          <w:color w:val="auto"/>
        </w:rPr>
      </w:pPr>
    </w:p>
    <w:p>
      <w:pPr>
        <w:ind w:left="1520" w:right="200" w:hanging="852"/>
        <w:spacing w:after="0" w:line="208"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 —</w:t>
      </w:r>
      <w:r>
        <w:rPr>
          <w:sz w:val="20"/>
          <w:szCs w:val="20"/>
          <w:color w:val="auto"/>
        </w:rPr>
        <w:tab/>
      </w:r>
      <w:hyperlink r:id="rId281">
        <w:r>
          <w:rPr>
            <w:rFonts w:ascii="Arial" w:cs="Arial" w:eastAsia="Arial" w:hAnsi="Arial"/>
            <w:sz w:val="16"/>
            <w:szCs w:val="16"/>
            <w:u w:val="single" w:color="auto"/>
            <w:color w:val="0000FF"/>
          </w:rPr>
          <w:t>Certificate of Designations for the 5.25% Series B Cumulative Redeemable Preferred Units, dated as of March 20, 2013, constituting an</w:t>
        </w:r>
      </w:hyperlink>
      <w:r>
        <w:rPr>
          <w:rFonts w:ascii="Arial" w:cs="Arial" w:eastAsia="Arial" w:hAnsi="Arial"/>
          <w:sz w:val="16"/>
          <w:szCs w:val="16"/>
          <w:u w:val="single" w:color="auto"/>
          <w:color w:val="0000FF"/>
        </w:rPr>
        <w:t xml:space="preserve"> </w:t>
      </w:r>
      <w:hyperlink r:id="rId281">
        <w:r>
          <w:rPr>
            <w:rFonts w:ascii="Arial" w:cs="Arial" w:eastAsia="Arial" w:hAnsi="Arial"/>
            <w:sz w:val="16"/>
            <w:szCs w:val="16"/>
            <w:u w:val="single" w:color="auto"/>
            <w:color w:val="0000FF"/>
          </w:rPr>
          <w:t>amendment to the Second Amended and Restated Agreement of Limited Partnership of Boston Properties Limited Partnership.</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1">
        <w:r>
          <w:rPr>
            <w:rFonts w:ascii="Arial" w:cs="Arial" w:eastAsia="Arial" w:hAnsi="Arial"/>
            <w:sz w:val="16"/>
            <w:szCs w:val="16"/>
            <w:u w:val="single" w:color="auto"/>
            <w:color w:val="0000FF"/>
          </w:rPr>
          <w:t>(Incorporated by reference to Exhibit 10.1 to the Current Report on Form 8-K of Boston Properties, Inc. filed on March 22, 2013.)</w:t>
        </w:r>
      </w:hyperlink>
    </w:p>
    <w:p>
      <w:pPr>
        <w:spacing w:after="0" w:line="6" w:lineRule="exact"/>
        <w:rPr>
          <w:sz w:val="20"/>
          <w:szCs w:val="20"/>
          <w:color w:val="auto"/>
        </w:rPr>
      </w:pPr>
    </w:p>
    <w:p>
      <w:pPr>
        <w:ind w:left="1520" w:right="2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10.4 —</w:t>
      </w:r>
      <w:r>
        <w:rPr>
          <w:sz w:val="20"/>
          <w:szCs w:val="20"/>
          <w:color w:val="auto"/>
        </w:rPr>
        <w:tab/>
      </w:r>
      <w:hyperlink r:id="rId282">
        <w:r>
          <w:rPr>
            <w:rFonts w:ascii="Arial" w:cs="Arial" w:eastAsia="Arial" w:hAnsi="Arial"/>
            <w:sz w:val="15"/>
            <w:szCs w:val="15"/>
            <w:u w:val="single" w:color="auto"/>
            <w:color w:val="0000FF"/>
          </w:rPr>
          <w:t>Forty-Seventh Amendment to the Second Amended and Restated Agreement of Limited Partnership of Boston Properties Limited</w:t>
        </w:r>
      </w:hyperlink>
      <w:r>
        <w:rPr>
          <w:rFonts w:ascii="Arial" w:cs="Arial" w:eastAsia="Arial" w:hAnsi="Arial"/>
          <w:sz w:val="15"/>
          <w:szCs w:val="15"/>
          <w:u w:val="single" w:color="auto"/>
          <w:color w:val="0000FF"/>
        </w:rPr>
        <w:t xml:space="preserve"> </w:t>
      </w:r>
      <w:hyperlink r:id="rId282">
        <w:r>
          <w:rPr>
            <w:rFonts w:ascii="Arial" w:cs="Arial" w:eastAsia="Arial" w:hAnsi="Arial"/>
            <w:sz w:val="15"/>
            <w:szCs w:val="15"/>
            <w:u w:val="single" w:color="auto"/>
            <w:color w:val="0000FF"/>
          </w:rPr>
          <w:t>Partnership, dated as of April 11, 2003, by Boston Properties, Inc., as general partner. (Incorporated by reference to Exhibit 10.1 to Boston</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2">
        <w:r>
          <w:rPr>
            <w:rFonts w:ascii="Arial" w:cs="Arial" w:eastAsia="Arial" w:hAnsi="Arial"/>
            <w:sz w:val="16"/>
            <w:szCs w:val="16"/>
            <w:u w:val="single" w:color="auto"/>
            <w:color w:val="0000FF"/>
          </w:rPr>
          <w:t>Properties, Inc.’s Quarterly Report on Form 10-Q filed on August 14, 2003.)</w:t>
        </w:r>
      </w:hyperlink>
    </w:p>
    <w:p>
      <w:pPr>
        <w:spacing w:after="0" w:line="6" w:lineRule="exact"/>
        <w:rPr>
          <w:sz w:val="20"/>
          <w:szCs w:val="20"/>
          <w:color w:val="auto"/>
        </w:rPr>
      </w:pPr>
    </w:p>
    <w:p>
      <w:pPr>
        <w:ind w:left="1520" w:right="30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10.5 —</w:t>
      </w:r>
      <w:r>
        <w:rPr>
          <w:sz w:val="20"/>
          <w:szCs w:val="20"/>
          <w:color w:val="auto"/>
        </w:rPr>
        <w:tab/>
      </w:r>
      <w:hyperlink r:id="rId283">
        <w:r>
          <w:rPr>
            <w:rFonts w:ascii="Arial" w:cs="Arial" w:eastAsia="Arial" w:hAnsi="Arial"/>
            <w:sz w:val="15"/>
            <w:szCs w:val="15"/>
            <w:u w:val="single" w:color="auto"/>
            <w:color w:val="0000FF"/>
          </w:rPr>
          <w:t>Seventy-Seventh Amendment to the Second Amended and Restated Agreement of Limited Partnership of Boston Properties Limited</w:t>
        </w:r>
      </w:hyperlink>
      <w:r>
        <w:rPr>
          <w:rFonts w:ascii="Arial" w:cs="Arial" w:eastAsia="Arial" w:hAnsi="Arial"/>
          <w:sz w:val="15"/>
          <w:szCs w:val="15"/>
          <w:u w:val="single" w:color="auto"/>
          <w:color w:val="0000FF"/>
        </w:rPr>
        <w:t xml:space="preserve"> </w:t>
      </w:r>
      <w:hyperlink r:id="rId283">
        <w:r>
          <w:rPr>
            <w:rFonts w:ascii="Arial" w:cs="Arial" w:eastAsia="Arial" w:hAnsi="Arial"/>
            <w:sz w:val="15"/>
            <w:szCs w:val="15"/>
            <w:u w:val="single" w:color="auto"/>
            <w:color w:val="0000FF"/>
          </w:rPr>
          <w:t>Partnership, dated as of January 24, 2008, by Boston Properties, Inc., as general partner. (Incorporated by reference to Exhibit 10.3 to</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3">
        <w:r>
          <w:rPr>
            <w:rFonts w:ascii="Arial" w:cs="Arial" w:eastAsia="Arial" w:hAnsi="Arial"/>
            <w:sz w:val="16"/>
            <w:szCs w:val="16"/>
            <w:u w:val="single" w:color="auto"/>
            <w:color w:val="0000FF"/>
          </w:rPr>
          <w:t>Boston Properties, Inc.’s Current Report on Form 8-K filed on January 29, 2008.)</w:t>
        </w:r>
      </w:hyperlink>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left="1520" w:right="38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10.6 —</w:t>
      </w:r>
      <w:r>
        <w:rPr>
          <w:sz w:val="20"/>
          <w:szCs w:val="20"/>
          <w:color w:val="auto"/>
        </w:rPr>
        <w:tab/>
      </w:r>
      <w:hyperlink r:id="rId285">
        <w:r>
          <w:rPr>
            <w:rFonts w:ascii="Arial" w:cs="Arial" w:eastAsia="Arial" w:hAnsi="Arial"/>
            <w:sz w:val="15"/>
            <w:szCs w:val="15"/>
            <w:u w:val="single" w:color="auto"/>
            <w:color w:val="0000FF"/>
          </w:rPr>
          <w:t>Ninety-Eighth Amendment to the Second Amended and Restated Agreement of Limited Partnership of Boston Properties Limited</w:t>
        </w:r>
      </w:hyperlink>
      <w:r>
        <w:rPr>
          <w:rFonts w:ascii="Arial" w:cs="Arial" w:eastAsia="Arial" w:hAnsi="Arial"/>
          <w:sz w:val="15"/>
          <w:szCs w:val="15"/>
          <w:u w:val="single" w:color="auto"/>
          <w:color w:val="0000FF"/>
        </w:rPr>
        <w:t xml:space="preserve"> </w:t>
      </w:r>
      <w:hyperlink r:id="rId285">
        <w:r>
          <w:rPr>
            <w:rFonts w:ascii="Arial" w:cs="Arial" w:eastAsia="Arial" w:hAnsi="Arial"/>
            <w:sz w:val="15"/>
            <w:szCs w:val="15"/>
            <w:u w:val="single" w:color="auto"/>
            <w:color w:val="0000FF"/>
          </w:rPr>
          <w:t>Partnership, dated as of October 21, 2010. (Incorporated by reference to Exhibit 10.1 to Boston Properties, Inc.’s Quarterly Report on</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5">
        <w:r>
          <w:rPr>
            <w:rFonts w:ascii="Arial" w:cs="Arial" w:eastAsia="Arial" w:hAnsi="Arial"/>
            <w:sz w:val="16"/>
            <w:szCs w:val="16"/>
            <w:u w:val="single" w:color="auto"/>
            <w:color w:val="0000FF"/>
          </w:rPr>
          <w:t>Form 10-Q filed on November 5, 2010.)</w:t>
        </w:r>
      </w:hyperlink>
    </w:p>
    <w:p>
      <w:pPr>
        <w:spacing w:after="0" w:line="6" w:lineRule="exact"/>
        <w:rPr>
          <w:sz w:val="20"/>
          <w:szCs w:val="20"/>
          <w:color w:val="auto"/>
        </w:rPr>
      </w:pPr>
    </w:p>
    <w:p>
      <w:pPr>
        <w:ind w:left="1520" w:right="40" w:hanging="852"/>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10.7 —</w:t>
      </w:r>
      <w:r>
        <w:rPr>
          <w:sz w:val="20"/>
          <w:szCs w:val="20"/>
          <w:color w:val="auto"/>
        </w:rPr>
        <w:tab/>
      </w:r>
      <w:hyperlink r:id="rId286">
        <w:r>
          <w:rPr>
            <w:rFonts w:ascii="Arial" w:cs="Arial" w:eastAsia="Arial" w:hAnsi="Arial"/>
            <w:sz w:val="15"/>
            <w:szCs w:val="15"/>
            <w:u w:val="single" w:color="auto"/>
            <w:color w:val="0000FF"/>
          </w:rPr>
          <w:t>One Hundred Forty-Ninth Amendment to the Second Amended and Restated Agreement of Limited Partnership of Boston Properties</w:t>
        </w:r>
      </w:hyperlink>
      <w:r>
        <w:rPr>
          <w:rFonts w:ascii="Arial" w:cs="Arial" w:eastAsia="Arial" w:hAnsi="Arial"/>
          <w:sz w:val="15"/>
          <w:szCs w:val="15"/>
          <w:u w:val="single" w:color="auto"/>
          <w:color w:val="0000FF"/>
        </w:rPr>
        <w:t xml:space="preserve"> </w:t>
      </w:r>
      <w:hyperlink r:id="rId286">
        <w:r>
          <w:rPr>
            <w:rFonts w:ascii="Arial" w:cs="Arial" w:eastAsia="Arial" w:hAnsi="Arial"/>
            <w:sz w:val="15"/>
            <w:szCs w:val="15"/>
            <w:u w:val="single" w:color="auto"/>
            <w:color w:val="0000FF"/>
          </w:rPr>
          <w:t>Limited Partnership, dated as of December 15, 2017. (Incorporated by reference to Exhibit 10.7 to Boston Properties, Inc.’s Annual Report</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286">
        <w:r>
          <w:rPr>
            <w:rFonts w:ascii="Arial" w:cs="Arial" w:eastAsia="Arial" w:hAnsi="Arial"/>
            <w:sz w:val="16"/>
            <w:szCs w:val="16"/>
            <w:u w:val="single" w:color="auto"/>
            <w:color w:val="0000FF"/>
          </w:rPr>
          <w:t>on Form 10-K filed on February 28, 2018.)</w:t>
        </w:r>
      </w:hyperlink>
    </w:p>
    <w:p>
      <w:pPr>
        <w:spacing w:after="0" w:line="6" w:lineRule="exact"/>
        <w:rPr>
          <w:sz w:val="20"/>
          <w:szCs w:val="20"/>
          <w:color w:val="auto"/>
        </w:rPr>
      </w:pPr>
    </w:p>
    <w:p>
      <w:pPr>
        <w:ind w:left="1520" w:right="360" w:hanging="861"/>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10.8* —</w:t>
      </w:r>
      <w:r>
        <w:rPr>
          <w:sz w:val="20"/>
          <w:szCs w:val="20"/>
          <w:color w:val="auto"/>
        </w:rPr>
        <w:tab/>
      </w:r>
      <w:hyperlink r:id="rId287">
        <w:r>
          <w:rPr>
            <w:rFonts w:ascii="Arial" w:cs="Arial" w:eastAsia="Arial" w:hAnsi="Arial"/>
            <w:sz w:val="16"/>
            <w:szCs w:val="16"/>
            <w:u w:val="single" w:color="auto"/>
            <w:color w:val="0000FF"/>
          </w:rPr>
          <w:t>Second Amendment and Restatement of Boston Properties, Inc. 1997 Stock Option and Incentive Plan. (Incorporated by reference to</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Exhibit A to Boston Properties, Inc.’s Proxy Statement on Schedule 14A filed on April 6, 2007.)</w:t>
        </w:r>
      </w:hyperlink>
    </w:p>
    <w:p>
      <w:pPr>
        <w:spacing w:after="0" w:line="25" w:lineRule="exact"/>
        <w:rPr>
          <w:sz w:val="20"/>
          <w:szCs w:val="20"/>
          <w:color w:val="auto"/>
        </w:rPr>
      </w:pPr>
    </w:p>
    <w:p>
      <w:pPr>
        <w:ind w:left="1520" w:right="220" w:hanging="861"/>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10.9* —</w:t>
      </w:r>
      <w:r>
        <w:rPr>
          <w:sz w:val="20"/>
          <w:szCs w:val="20"/>
          <w:color w:val="auto"/>
        </w:rPr>
        <w:tab/>
      </w:r>
      <w:hyperlink r:id="rId288">
        <w:r>
          <w:rPr>
            <w:rFonts w:ascii="Arial" w:cs="Arial" w:eastAsia="Arial" w:hAnsi="Arial"/>
            <w:sz w:val="16"/>
            <w:szCs w:val="16"/>
            <w:u w:val="single" w:color="auto"/>
            <w:color w:val="0000FF"/>
          </w:rPr>
          <w:t>Boston Properties, Inc. 2012 Stock Option and Incentive Plan. (Incorporated by reference to Exhibit A to Boston Properties, Inc.’s Proxy</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Statement on Schedule 14A filed on March 30, 2012.)</w:t>
        </w:r>
      </w:hyperlink>
    </w:p>
    <w:p>
      <w:pPr>
        <w:spacing w:after="0" w:line="25" w:lineRule="exact"/>
        <w:rPr>
          <w:sz w:val="20"/>
          <w:szCs w:val="20"/>
          <w:color w:val="auto"/>
        </w:rPr>
      </w:pPr>
    </w:p>
    <w:p>
      <w:pPr>
        <w:ind w:left="1520" w:right="4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10.10* —</w:t>
      </w:r>
      <w:r>
        <w:rPr>
          <w:sz w:val="20"/>
          <w:szCs w:val="20"/>
          <w:color w:val="auto"/>
        </w:rPr>
        <w:tab/>
      </w:r>
      <w:hyperlink r:id="rId289">
        <w:r>
          <w:rPr>
            <w:rFonts w:ascii="Arial" w:cs="Arial" w:eastAsia="Arial" w:hAnsi="Arial"/>
            <w:sz w:val="16"/>
            <w:szCs w:val="16"/>
            <w:u w:val="single" w:color="auto"/>
            <w:color w:val="0000FF"/>
          </w:rPr>
          <w:t>Boston Properties, Inc. 2021 Stock Incentive Plan. (Incorporated by reference to Exhibit 10.1 to the Current Report on Form 8-K of Boston</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Properties, Inc. and Boston Properties Limited Partnership filed on May 20, 2021).</w:t>
        </w:r>
      </w:hyperlink>
    </w:p>
    <w:p>
      <w:pPr>
        <w:spacing w:after="0" w:line="25" w:lineRule="exact"/>
        <w:rPr>
          <w:sz w:val="20"/>
          <w:szCs w:val="20"/>
          <w:color w:val="auto"/>
        </w:rPr>
      </w:pPr>
    </w:p>
    <w:p>
      <w:pPr>
        <w:ind w:left="1520" w:right="62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10.11* —</w:t>
      </w:r>
      <w:r>
        <w:rPr>
          <w:sz w:val="20"/>
          <w:szCs w:val="20"/>
          <w:color w:val="auto"/>
        </w:rPr>
        <w:tab/>
      </w:r>
      <w:hyperlink r:id="rId290">
        <w:r>
          <w:rPr>
            <w:rFonts w:ascii="Arial" w:cs="Arial" w:eastAsia="Arial" w:hAnsi="Arial"/>
            <w:sz w:val="16"/>
            <w:szCs w:val="16"/>
            <w:u w:val="single" w:color="auto"/>
            <w:color w:val="0000FF"/>
          </w:rPr>
          <w:t>Boston Properties, Inc. 1999 Non-Qualified Employee Stock Purchase Plan. (Incorporated by reference to Exhibit 10.59 to Boston</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Properties, Inc.’s Annual Report on Form 10-K filed on March 15, 2005.)</w:t>
        </w:r>
      </w:hyperlink>
    </w:p>
    <w:p>
      <w:pPr>
        <w:spacing w:after="0" w:line="7" w:lineRule="exact"/>
        <w:rPr>
          <w:sz w:val="20"/>
          <w:szCs w:val="20"/>
          <w:color w:val="auto"/>
        </w:rPr>
      </w:pPr>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10.12* —</w:t>
      </w:r>
      <w:r>
        <w:rPr>
          <w:sz w:val="20"/>
          <w:szCs w:val="20"/>
          <w:color w:val="auto"/>
        </w:rPr>
        <w:tab/>
      </w:r>
      <w:hyperlink r:id="rId291">
        <w:r>
          <w:rPr>
            <w:rFonts w:ascii="Arial" w:cs="Arial" w:eastAsia="Arial" w:hAnsi="Arial"/>
            <w:sz w:val="15"/>
            <w:szCs w:val="15"/>
            <w:u w:val="single" w:color="auto"/>
            <w:color w:val="0000FF"/>
          </w:rPr>
          <w:t>First Amendment to the Boston Properties, Inc. 1999 Non-Qualified Employee Stock Purchase Plan. (Incorporated by reference to Exhibit</w:t>
        </w:r>
      </w:hyperlink>
    </w:p>
    <w:p>
      <w:pPr>
        <w:ind w:left="1520"/>
        <w:spacing w:after="0"/>
        <w:rPr>
          <w:rFonts w:ascii="Arial" w:cs="Arial" w:eastAsia="Arial" w:hAnsi="Arial"/>
          <w:sz w:val="16"/>
          <w:szCs w:val="16"/>
          <w:u w:val="single" w:color="auto"/>
          <w:color w:val="0000FF"/>
        </w:rPr>
      </w:pPr>
      <w:hyperlink r:id="rId291">
        <w:r>
          <w:rPr>
            <w:rFonts w:ascii="Arial" w:cs="Arial" w:eastAsia="Arial" w:hAnsi="Arial"/>
            <w:sz w:val="16"/>
            <w:szCs w:val="16"/>
            <w:u w:val="single" w:color="auto"/>
            <w:color w:val="0000FF"/>
          </w:rPr>
          <w:t>10.60 to Boston Properties, Inc.’s Annual Report on Form 10-K filed on March 15, 2005.)</w:t>
        </w:r>
      </w:hyperlink>
    </w:p>
    <w:p>
      <w:pPr>
        <w:spacing w:after="0" w:line="18" w:lineRule="exact"/>
        <w:rPr>
          <w:sz w:val="20"/>
          <w:szCs w:val="20"/>
          <w:color w:val="auto"/>
        </w:rPr>
      </w:pPr>
    </w:p>
    <w:p>
      <w:pPr>
        <w:ind w:left="1520" w:right="3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10.13* —</w:t>
      </w:r>
      <w:r>
        <w:rPr>
          <w:sz w:val="20"/>
          <w:szCs w:val="20"/>
          <w:color w:val="auto"/>
        </w:rPr>
        <w:tab/>
      </w:r>
      <w:hyperlink r:id="rId292">
        <w:r>
          <w:rPr>
            <w:rFonts w:ascii="Arial" w:cs="Arial" w:eastAsia="Arial" w:hAnsi="Arial"/>
            <w:sz w:val="16"/>
            <w:szCs w:val="16"/>
            <w:u w:val="single" w:color="auto"/>
            <w:color w:val="0000FF"/>
          </w:rPr>
          <w:t>Second Amendment to the Boston Properties, Inc. 1999 Non-Qualified Employee Stock Purchase Plan. (Incorporated by reference to</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Exhibit 10.61 to Boston Properties, Inc.’s Annual Report on Form 10-K filed on March 15, 2005.)</w:t>
        </w:r>
      </w:hyperlink>
    </w:p>
    <w:p>
      <w:pPr>
        <w:spacing w:after="0" w:line="7" w:lineRule="exact"/>
        <w:rPr>
          <w:sz w:val="20"/>
          <w:szCs w:val="20"/>
          <w:color w:val="auto"/>
        </w:rPr>
      </w:pPr>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10.14* —</w:t>
      </w:r>
      <w:r>
        <w:rPr>
          <w:sz w:val="20"/>
          <w:szCs w:val="20"/>
          <w:color w:val="auto"/>
        </w:rPr>
        <w:tab/>
      </w:r>
      <w:hyperlink r:id="rId293">
        <w:r>
          <w:rPr>
            <w:rFonts w:ascii="Arial" w:cs="Arial" w:eastAsia="Arial" w:hAnsi="Arial"/>
            <w:sz w:val="15"/>
            <w:szCs w:val="15"/>
            <w:u w:val="single" w:color="auto"/>
            <w:color w:val="0000FF"/>
          </w:rPr>
          <w:t>Third Amendment to the Boston Properties, Inc. 1999 Non-Qualified Employee Stock Purchase Plan. (Incorporated by reference to Exhibit</w:t>
        </w:r>
      </w:hyperlink>
    </w:p>
    <w:p>
      <w:pPr>
        <w:ind w:left="1520"/>
        <w:spacing w:after="0"/>
        <w:rPr>
          <w:rFonts w:ascii="Arial" w:cs="Arial" w:eastAsia="Arial" w:hAnsi="Arial"/>
          <w:sz w:val="15"/>
          <w:szCs w:val="15"/>
          <w:u w:val="single" w:color="auto"/>
          <w:color w:val="0000FF"/>
        </w:rPr>
      </w:pPr>
      <w:hyperlink r:id="rId293">
        <w:r>
          <w:rPr>
            <w:rFonts w:ascii="Arial" w:cs="Arial" w:eastAsia="Arial" w:hAnsi="Arial"/>
            <w:sz w:val="15"/>
            <w:szCs w:val="15"/>
            <w:u w:val="single" w:color="auto"/>
            <w:color w:val="0000FF"/>
          </w:rPr>
          <w:t>10.3 to the Quarterly Report on Form 10-Q of Boston Properties, Inc. and Boston Properties Limited Partnership filed on August 6, 2021.)</w:t>
        </w:r>
      </w:hyperlink>
    </w:p>
    <w:p>
      <w:pPr>
        <w:spacing w:after="0" w:line="29" w:lineRule="exact"/>
        <w:rPr>
          <w:sz w:val="20"/>
          <w:szCs w:val="20"/>
          <w:color w:val="auto"/>
        </w:rPr>
      </w:pPr>
    </w:p>
    <w:p>
      <w:pPr>
        <w:ind w:left="1520" w:right="26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10.15* —</w:t>
      </w:r>
      <w:r>
        <w:rPr>
          <w:sz w:val="20"/>
          <w:szCs w:val="20"/>
          <w:color w:val="auto"/>
        </w:rPr>
        <w:tab/>
      </w:r>
      <w:hyperlink r:id="rId294">
        <w:r>
          <w:rPr>
            <w:rFonts w:ascii="Arial" w:cs="Arial" w:eastAsia="Arial" w:hAnsi="Arial"/>
            <w:sz w:val="16"/>
            <w:szCs w:val="16"/>
            <w:u w:val="single" w:color="auto"/>
            <w:color w:val="0000FF"/>
          </w:rPr>
          <w:t>Boston Properties Deferred Compensation Plan, Amended and Restated Effective as of January 1, 2009. (Incorporated by reference to</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Exhibit 10.10 to Boston Properties, Inc.’s Annual Report on Form 10-K filed on March 2, 2009.)</w:t>
        </w:r>
      </w:hyperlink>
    </w:p>
    <w:p>
      <w:pPr>
        <w:spacing w:after="0" w:line="25" w:lineRule="exact"/>
        <w:rPr>
          <w:sz w:val="20"/>
          <w:szCs w:val="20"/>
          <w:color w:val="auto"/>
        </w:rPr>
      </w:pPr>
    </w:p>
    <w:p>
      <w:pPr>
        <w:ind w:left="1520" w:right="16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10.16* —</w:t>
      </w:r>
      <w:r>
        <w:rPr>
          <w:sz w:val="20"/>
          <w:szCs w:val="20"/>
          <w:color w:val="auto"/>
        </w:rPr>
        <w:tab/>
      </w:r>
      <w:hyperlink r:id="rId295">
        <w:r>
          <w:rPr>
            <w:rFonts w:ascii="Arial" w:cs="Arial" w:eastAsia="Arial" w:hAnsi="Arial"/>
            <w:sz w:val="16"/>
            <w:szCs w:val="16"/>
            <w:u w:val="single" w:color="auto"/>
            <w:color w:val="0000FF"/>
          </w:rPr>
          <w:t>Employment Agreement by and between Douglas T. Linde and Boston Properties, Inc. dated as of November 29, 2002. (Incorporated by</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reference to Exhibit 10.12 to Boston Properties, Inc.’s Annual Report on Form 10-K filed on February 27, 2003.)</w:t>
        </w:r>
      </w:hyperlink>
    </w:p>
    <w:p>
      <w:pPr>
        <w:spacing w:after="0" w:line="25" w:lineRule="exact"/>
        <w:rPr>
          <w:sz w:val="20"/>
          <w:szCs w:val="20"/>
          <w:color w:val="auto"/>
        </w:rPr>
      </w:pPr>
    </w:p>
    <w:p>
      <w:pPr>
        <w:ind w:left="1520" w:right="14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10.17* —</w:t>
      </w:r>
      <w:r>
        <w:rPr>
          <w:sz w:val="20"/>
          <w:szCs w:val="20"/>
          <w:color w:val="auto"/>
        </w:rPr>
        <w:tab/>
      </w:r>
      <w:hyperlink r:id="rId296">
        <w:r>
          <w:rPr>
            <w:rFonts w:ascii="Arial" w:cs="Arial" w:eastAsia="Arial" w:hAnsi="Arial"/>
            <w:sz w:val="15"/>
            <w:szCs w:val="15"/>
            <w:u w:val="single" w:color="auto"/>
            <w:color w:val="0000FF"/>
          </w:rPr>
          <w:t>First Amendment to Employment Agreement, dated as of November 1, 2007, by and between Boston Properties, Inc. and Douglas T.</w:t>
        </w:r>
      </w:hyperlink>
      <w:r>
        <w:rPr>
          <w:rFonts w:ascii="Arial" w:cs="Arial" w:eastAsia="Arial" w:hAnsi="Arial"/>
          <w:sz w:val="15"/>
          <w:szCs w:val="15"/>
          <w:u w:val="single" w:color="auto"/>
          <w:color w:val="0000FF"/>
        </w:rPr>
        <w:t xml:space="preserve"> </w:t>
      </w:r>
      <w:hyperlink r:id="rId296">
        <w:r>
          <w:rPr>
            <w:rFonts w:ascii="Arial" w:cs="Arial" w:eastAsia="Arial" w:hAnsi="Arial"/>
            <w:sz w:val="15"/>
            <w:szCs w:val="15"/>
            <w:u w:val="single" w:color="auto"/>
            <w:color w:val="0000FF"/>
          </w:rPr>
          <w:t>Linde. (Incorporated by reference to Exhibit 10.3 to Boston Properties, Inc.’s Quarterly Report on Form 10-Q filed on November 9, 2007.)</w:t>
        </w:r>
      </w:hyperlink>
    </w:p>
    <w:p>
      <w:pPr>
        <w:spacing w:after="0" w:line="25" w:lineRule="exact"/>
        <w:rPr>
          <w:sz w:val="20"/>
          <w:szCs w:val="20"/>
          <w:color w:val="auto"/>
        </w:rPr>
      </w:pPr>
    </w:p>
    <w:p>
      <w:pPr>
        <w:ind w:left="1520" w:right="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10.18* —</w:t>
      </w:r>
      <w:r>
        <w:rPr>
          <w:sz w:val="20"/>
          <w:szCs w:val="20"/>
          <w:color w:val="auto"/>
        </w:rPr>
        <w:tab/>
      </w:r>
      <w:hyperlink r:id="rId297">
        <w:r>
          <w:rPr>
            <w:rFonts w:ascii="Arial" w:cs="Arial" w:eastAsia="Arial" w:hAnsi="Arial"/>
            <w:sz w:val="16"/>
            <w:szCs w:val="16"/>
            <w:u w:val="single" w:color="auto"/>
            <w:color w:val="0000FF"/>
          </w:rPr>
          <w:t>Second Amendment to Employment Agreement, dated as of December 15, 2008, by and between Boston Properties, Inc. and Douglas T.</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Linde. (Incorporated by reference to Exhibit 10.19 to Boston Properties, Inc.’s Annual Report on Form 10-K filed on March 2, 2009.)</w:t>
        </w:r>
      </w:hyperlink>
    </w:p>
    <w:p>
      <w:pPr>
        <w:spacing w:after="0" w:line="7" w:lineRule="exact"/>
        <w:rPr>
          <w:sz w:val="20"/>
          <w:szCs w:val="20"/>
          <w:color w:val="auto"/>
        </w:rPr>
      </w:pPr>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10.19* —</w:t>
      </w:r>
      <w:r>
        <w:rPr>
          <w:sz w:val="20"/>
          <w:szCs w:val="20"/>
          <w:color w:val="auto"/>
        </w:rPr>
        <w:tab/>
      </w:r>
      <w:hyperlink r:id="rId298">
        <w:r>
          <w:rPr>
            <w:rFonts w:ascii="Arial" w:cs="Arial" w:eastAsia="Arial" w:hAnsi="Arial"/>
            <w:sz w:val="15"/>
            <w:szCs w:val="15"/>
            <w:u w:val="single" w:color="auto"/>
            <w:color w:val="0000FF"/>
          </w:rPr>
          <w:t>Amended and Restated Employment Agreement by and between Raymond A. Ritchey and Boston Properties, Inc. dated as of November</w:t>
        </w:r>
      </w:hyperlink>
    </w:p>
    <w:p>
      <w:pPr>
        <w:ind w:left="1520"/>
        <w:spacing w:after="0"/>
        <w:rPr>
          <w:rFonts w:ascii="Arial" w:cs="Arial" w:eastAsia="Arial" w:hAnsi="Arial"/>
          <w:sz w:val="15"/>
          <w:szCs w:val="15"/>
          <w:u w:val="single" w:color="auto"/>
          <w:color w:val="0000FF"/>
        </w:rPr>
      </w:pPr>
      <w:hyperlink r:id="rId298">
        <w:r>
          <w:rPr>
            <w:rFonts w:ascii="Arial" w:cs="Arial" w:eastAsia="Arial" w:hAnsi="Arial"/>
            <w:sz w:val="15"/>
            <w:szCs w:val="15"/>
            <w:u w:val="single" w:color="auto"/>
            <w:color w:val="0000FF"/>
          </w:rPr>
          <w:t>29, 2002. (Incorporated by reference to Exhibit 10.15 to Boston Properties, Inc.’s Annual Report on Form 10-K filed on February 27, 2003.)</w:t>
        </w:r>
      </w:hyperlink>
    </w:p>
    <w:p>
      <w:pPr>
        <w:spacing w:after="0" w:line="29" w:lineRule="exact"/>
        <w:rPr>
          <w:sz w:val="20"/>
          <w:szCs w:val="20"/>
          <w:color w:val="auto"/>
        </w:rPr>
      </w:pPr>
    </w:p>
    <w:p>
      <w:pPr>
        <w:jc w:val="right"/>
        <w:ind w:left="580" w:right="100"/>
        <w:spacing w:after="0" w:line="21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10.20* —     </w:t>
      </w:r>
      <w:hyperlink r:id="rId299">
        <w:r>
          <w:rPr>
            <w:rFonts w:ascii="Arial" w:cs="Arial" w:eastAsia="Arial" w:hAnsi="Arial"/>
            <w:sz w:val="16"/>
            <w:szCs w:val="16"/>
            <w:u w:val="single" w:color="auto"/>
            <w:color w:val="0000FF"/>
          </w:rPr>
          <w:t>First Amendment to Amended and Restated Employment Agreement, dated as of November 1, 2007, by and between Boston Properties,</w:t>
        </w:r>
      </w:hyperlink>
      <w:r>
        <w:rPr>
          <w:rFonts w:ascii="Arial" w:cs="Arial" w:eastAsia="Arial" w:hAnsi="Arial"/>
          <w:sz w:val="16"/>
          <w:szCs w:val="16"/>
          <w:color w:val="auto"/>
        </w:rPr>
        <w:t xml:space="preserve"> </w:t>
      </w:r>
      <w:hyperlink r:id="rId299">
        <w:r>
          <w:rPr>
            <w:rFonts w:ascii="Arial" w:cs="Arial" w:eastAsia="Arial" w:hAnsi="Arial"/>
            <w:sz w:val="16"/>
            <w:szCs w:val="16"/>
            <w:u w:val="single" w:color="auto"/>
            <w:color w:val="0000FF"/>
          </w:rPr>
          <w:t>Inc. and Raymond A. Ritchey. (Incorporated by reference to Exhibit 10.4 to Boston Properties, Inc.’s Quarterly Report on Form 10-Q filed</w:t>
        </w:r>
      </w:hyperlink>
    </w:p>
    <w:p>
      <w:pPr>
        <w:spacing w:after="0" w:line="1" w:lineRule="exact"/>
        <w:rPr>
          <w:sz w:val="20"/>
          <w:szCs w:val="20"/>
          <w:color w:val="auto"/>
        </w:rPr>
      </w:pPr>
    </w:p>
    <w:p>
      <w:pPr>
        <w:ind w:left="1520"/>
        <w:spacing w:after="0"/>
        <w:rPr>
          <w:rFonts w:ascii="Arial" w:cs="Arial" w:eastAsia="Arial" w:hAnsi="Arial"/>
          <w:sz w:val="16"/>
          <w:szCs w:val="16"/>
          <w:u w:val="single" w:color="auto"/>
          <w:color w:val="0000FF"/>
        </w:rPr>
      </w:pPr>
      <w:hyperlink r:id="rId299">
        <w:r>
          <w:rPr>
            <w:rFonts w:ascii="Arial" w:cs="Arial" w:eastAsia="Arial" w:hAnsi="Arial"/>
            <w:sz w:val="16"/>
            <w:szCs w:val="16"/>
            <w:u w:val="single" w:color="auto"/>
            <w:color w:val="0000FF"/>
          </w:rPr>
          <w:t>on November 9, 2007.)</w:t>
        </w:r>
      </w:hyperlink>
    </w:p>
    <w:p>
      <w:pPr>
        <w:spacing w:after="0" w:line="6" w:lineRule="exact"/>
        <w:rPr>
          <w:sz w:val="20"/>
          <w:szCs w:val="20"/>
          <w:color w:val="auto"/>
        </w:rPr>
      </w:pPr>
    </w:p>
    <w:p>
      <w:pPr>
        <w:ind w:left="1520" w:right="140" w:hanging="949"/>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10.21* —</w:t>
      </w:r>
      <w:r>
        <w:rPr>
          <w:sz w:val="20"/>
          <w:szCs w:val="20"/>
          <w:color w:val="auto"/>
        </w:rPr>
        <w:tab/>
      </w:r>
      <w:hyperlink r:id="rId300">
        <w:r>
          <w:rPr>
            <w:rFonts w:ascii="Arial" w:cs="Arial" w:eastAsia="Arial" w:hAnsi="Arial"/>
            <w:sz w:val="15"/>
            <w:szCs w:val="15"/>
            <w:u w:val="single" w:color="auto"/>
            <w:color w:val="0000FF"/>
          </w:rPr>
          <w:t>Second Amendment to Amended and Restated Employment Agreement, dated as of December 15, 2008, by and between Boston</w:t>
        </w:r>
      </w:hyperlink>
      <w:r>
        <w:rPr>
          <w:rFonts w:ascii="Arial" w:cs="Arial" w:eastAsia="Arial" w:hAnsi="Arial"/>
          <w:sz w:val="15"/>
          <w:szCs w:val="15"/>
          <w:u w:val="single" w:color="auto"/>
          <w:color w:val="0000FF"/>
        </w:rPr>
        <w:t xml:space="preserve"> </w:t>
      </w:r>
      <w:hyperlink r:id="rId300">
        <w:r>
          <w:rPr>
            <w:rFonts w:ascii="Arial" w:cs="Arial" w:eastAsia="Arial" w:hAnsi="Arial"/>
            <w:sz w:val="15"/>
            <w:szCs w:val="15"/>
            <w:u w:val="single" w:color="auto"/>
            <w:color w:val="0000FF"/>
          </w:rPr>
          <w:t>Properties, Inc. and Raymond A. Ritchey. (Incorporated by reference to Exhibit 10.22 to Boston Properties, Inc.’s Annual Report on Form</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300">
        <w:r>
          <w:rPr>
            <w:rFonts w:ascii="Arial" w:cs="Arial" w:eastAsia="Arial" w:hAnsi="Arial"/>
            <w:sz w:val="16"/>
            <w:szCs w:val="16"/>
            <w:u w:val="single" w:color="auto"/>
            <w:color w:val="0000FF"/>
          </w:rPr>
          <w:t>10-K filed on March 2, 2009.)</w:t>
        </w:r>
      </w:hyperlink>
    </w:p>
    <w:p>
      <w:pPr>
        <w:spacing w:after="0" w:line="6" w:lineRule="exact"/>
        <w:rPr>
          <w:sz w:val="20"/>
          <w:szCs w:val="20"/>
          <w:color w:val="auto"/>
        </w:rPr>
      </w:pPr>
    </w:p>
    <w:p>
      <w:pPr>
        <w:ind w:left="1520" w:right="1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10.22* —</w:t>
      </w:r>
      <w:r>
        <w:rPr>
          <w:sz w:val="20"/>
          <w:szCs w:val="20"/>
          <w:color w:val="auto"/>
        </w:rPr>
        <w:tab/>
      </w:r>
      <w:hyperlink r:id="rId301">
        <w:r>
          <w:rPr>
            <w:rFonts w:ascii="Arial" w:cs="Arial" w:eastAsia="Arial" w:hAnsi="Arial"/>
            <w:sz w:val="16"/>
            <w:szCs w:val="16"/>
            <w:u w:val="single" w:color="auto"/>
            <w:color w:val="0000FF"/>
          </w:rPr>
          <w:t>Employment Agreement by and between Michael E. LaBelle and Boston Properties, Inc. dated as of January 24, 2008. (Incorporated by</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reference to Exhibit 10.2 to Boston Properties, Inc.’s Current Report on Form 8-K filed on January 29, 2008.)</w:t>
        </w:r>
      </w:hyperlink>
    </w:p>
    <w:p>
      <w:pPr>
        <w:spacing w:after="0" w:line="25" w:lineRule="exact"/>
        <w:rPr>
          <w:sz w:val="20"/>
          <w:szCs w:val="20"/>
          <w:color w:val="auto"/>
        </w:rPr>
      </w:pPr>
    </w:p>
    <w:p>
      <w:pPr>
        <w:jc w:val="right"/>
        <w:ind w:left="580" w:right="320"/>
        <w:spacing w:after="0" w:line="23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10.23* —     </w:t>
      </w:r>
      <w:hyperlink r:id="rId302">
        <w:r>
          <w:rPr>
            <w:rFonts w:ascii="Arial" w:cs="Arial" w:eastAsia="Arial" w:hAnsi="Arial"/>
            <w:sz w:val="16"/>
            <w:szCs w:val="16"/>
            <w:u w:val="single" w:color="auto"/>
            <w:color w:val="0000FF"/>
          </w:rPr>
          <w:t>First Amendment to Employment Agreement, dated as of December 15, 2008, by and between Boston Properties, Inc. and Michael E.</w:t>
        </w:r>
      </w:hyperlink>
      <w:r>
        <w:rPr>
          <w:rFonts w:ascii="Arial" w:cs="Arial" w:eastAsia="Arial" w:hAnsi="Arial"/>
          <w:sz w:val="16"/>
          <w:szCs w:val="16"/>
          <w:color w:val="auto"/>
        </w:rPr>
        <w:t xml:space="preserve"> </w:t>
      </w:r>
      <w:hyperlink r:id="rId302">
        <w:r>
          <w:rPr>
            <w:rFonts w:ascii="Arial" w:cs="Arial" w:eastAsia="Arial" w:hAnsi="Arial"/>
            <w:sz w:val="16"/>
            <w:szCs w:val="16"/>
            <w:u w:val="single" w:color="auto"/>
            <w:color w:val="0000FF"/>
          </w:rPr>
          <w:t>LaBelle. (Incorporated by reference to Exhibit 10.27 to Boston Properties, Inc.’s Annual Report on Form 10-K filed on March 2, 2009.)</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left="1520" w:right="2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10.24* —</w:t>
      </w:r>
      <w:r>
        <w:rPr>
          <w:sz w:val="20"/>
          <w:szCs w:val="20"/>
          <w:color w:val="auto"/>
        </w:rPr>
        <w:tab/>
      </w:r>
      <w:hyperlink r:id="rId304">
        <w:r>
          <w:rPr>
            <w:rFonts w:ascii="Arial" w:cs="Arial" w:eastAsia="Arial" w:hAnsi="Arial"/>
            <w:sz w:val="16"/>
            <w:szCs w:val="16"/>
            <w:u w:val="single" w:color="auto"/>
            <w:color w:val="0000FF"/>
          </w:rPr>
          <w:t>Employment Agreement by and between Bryan J. Koop and Boston Properties, Inc. dated as of November 29, 2002. (Incorporated by</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reference to Exhibit 10.10 to Boston Properties, Inc.’s Annual Report on Form 10-K filed on February 27, 2003.)</w:t>
        </w:r>
      </w:hyperlink>
    </w:p>
    <w:p>
      <w:pPr>
        <w:spacing w:after="0" w:line="25" w:lineRule="exact"/>
        <w:rPr>
          <w:sz w:val="20"/>
          <w:szCs w:val="20"/>
          <w:color w:val="auto"/>
        </w:rPr>
      </w:pPr>
    </w:p>
    <w:p>
      <w:pPr>
        <w:ind w:left="1520" w:right="6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10.25* —</w:t>
      </w:r>
      <w:r>
        <w:rPr>
          <w:sz w:val="20"/>
          <w:szCs w:val="20"/>
          <w:color w:val="auto"/>
        </w:rPr>
        <w:tab/>
      </w:r>
      <w:hyperlink r:id="rId305">
        <w:r>
          <w:rPr>
            <w:rFonts w:ascii="Arial" w:cs="Arial" w:eastAsia="Arial" w:hAnsi="Arial"/>
            <w:sz w:val="15"/>
            <w:szCs w:val="15"/>
            <w:u w:val="single" w:color="auto"/>
            <w:color w:val="0000FF"/>
          </w:rPr>
          <w:t>First Amendment to Employment Agreement, dated as of November 1, 2007, by and between Boston Properties, Inc. and Bryan J. Koop.</w:t>
        </w:r>
      </w:hyperlink>
      <w:r>
        <w:rPr>
          <w:rFonts w:ascii="Arial" w:cs="Arial" w:eastAsia="Arial" w:hAnsi="Arial"/>
          <w:sz w:val="15"/>
          <w:szCs w:val="15"/>
          <w:u w:val="single" w:color="auto"/>
          <w:color w:val="0000FF"/>
        </w:rPr>
        <w:t xml:space="preserve"> </w:t>
      </w:r>
      <w:hyperlink r:id="rId305">
        <w:r>
          <w:rPr>
            <w:rFonts w:ascii="Arial" w:cs="Arial" w:eastAsia="Arial" w:hAnsi="Arial"/>
            <w:sz w:val="15"/>
            <w:szCs w:val="15"/>
            <w:u w:val="single" w:color="auto"/>
            <w:color w:val="0000FF"/>
          </w:rPr>
          <w:t>(Incorporated by reference to Exhibit 10.7 to Boston Properties, Inc.’s Quarterly Report on Form 10-Q filed on November 9, 2007.)</w:t>
        </w:r>
      </w:hyperlink>
    </w:p>
    <w:p>
      <w:pPr>
        <w:spacing w:after="0" w:line="25" w:lineRule="exact"/>
        <w:rPr>
          <w:sz w:val="20"/>
          <w:szCs w:val="20"/>
          <w:color w:val="auto"/>
        </w:rPr>
      </w:pPr>
    </w:p>
    <w:p>
      <w:pPr>
        <w:ind w:left="1520" w:right="20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10.26* —</w:t>
      </w:r>
      <w:r>
        <w:rPr>
          <w:sz w:val="20"/>
          <w:szCs w:val="20"/>
          <w:color w:val="auto"/>
        </w:rPr>
        <w:tab/>
      </w:r>
      <w:hyperlink r:id="rId306">
        <w:r>
          <w:rPr>
            <w:rFonts w:ascii="Arial" w:cs="Arial" w:eastAsia="Arial" w:hAnsi="Arial"/>
            <w:sz w:val="15"/>
            <w:szCs w:val="15"/>
            <w:u w:val="single" w:color="auto"/>
            <w:color w:val="0000FF"/>
          </w:rPr>
          <w:t>Second Amendment to Employment Agreement, dated as of December 15, 2008, by and between Boston Properties, Inc. and Bryan J.</w:t>
        </w:r>
      </w:hyperlink>
      <w:r>
        <w:rPr>
          <w:rFonts w:ascii="Arial" w:cs="Arial" w:eastAsia="Arial" w:hAnsi="Arial"/>
          <w:sz w:val="15"/>
          <w:szCs w:val="15"/>
          <w:u w:val="single" w:color="auto"/>
          <w:color w:val="0000FF"/>
        </w:rPr>
        <w:t xml:space="preserve"> </w:t>
      </w:r>
      <w:hyperlink r:id="rId306">
        <w:r>
          <w:rPr>
            <w:rFonts w:ascii="Arial" w:cs="Arial" w:eastAsia="Arial" w:hAnsi="Arial"/>
            <w:sz w:val="15"/>
            <w:szCs w:val="15"/>
            <w:u w:val="single" w:color="auto"/>
            <w:color w:val="0000FF"/>
          </w:rPr>
          <w:t>Koop. (Incorporated by reference to Exhibit 10.33 to Boston Properties, Inc.’s Annual Report on Form 10-K filed on March 2, 2009.)</w:t>
        </w:r>
      </w:hyperlink>
    </w:p>
    <w:p>
      <w:pPr>
        <w:spacing w:after="0" w:line="25" w:lineRule="exact"/>
        <w:rPr>
          <w:sz w:val="20"/>
          <w:szCs w:val="20"/>
          <w:color w:val="auto"/>
        </w:rPr>
      </w:pPr>
    </w:p>
    <w:p>
      <w:pPr>
        <w:ind w:left="1520" w:right="10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10.27* —</w:t>
      </w:r>
      <w:r>
        <w:rPr>
          <w:sz w:val="20"/>
          <w:szCs w:val="20"/>
          <w:color w:val="auto"/>
        </w:rPr>
        <w:tab/>
      </w:r>
      <w:hyperlink r:id="rId307">
        <w:r>
          <w:rPr>
            <w:rFonts w:ascii="Arial" w:cs="Arial" w:eastAsia="Arial" w:hAnsi="Arial"/>
            <w:sz w:val="16"/>
            <w:szCs w:val="16"/>
            <w:u w:val="single" w:color="auto"/>
            <w:color w:val="0000FF"/>
          </w:rPr>
          <w:t>Employment Agreement by and between Robert E. Pester and Boston Properties, Inc. dated as of December 16, 2002. (Incorporated by</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reference to Exhibit 10.14 to Boston Properties, Inc.’s Annual Report on Form 10-K filed on February 27, 2003.)</w:t>
        </w:r>
      </w:hyperlink>
    </w:p>
    <w:p>
      <w:pPr>
        <w:spacing w:after="0" w:line="25" w:lineRule="exact"/>
        <w:rPr>
          <w:sz w:val="20"/>
          <w:szCs w:val="20"/>
          <w:color w:val="auto"/>
        </w:rPr>
      </w:pPr>
    </w:p>
    <w:p>
      <w:pPr>
        <w:ind w:left="1520" w:right="2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10.28* —</w:t>
      </w:r>
      <w:r>
        <w:rPr>
          <w:sz w:val="20"/>
          <w:szCs w:val="20"/>
          <w:color w:val="auto"/>
        </w:rPr>
        <w:tab/>
      </w:r>
      <w:hyperlink r:id="rId308">
        <w:r>
          <w:rPr>
            <w:rFonts w:ascii="Arial" w:cs="Arial" w:eastAsia="Arial" w:hAnsi="Arial"/>
            <w:sz w:val="15"/>
            <w:szCs w:val="15"/>
            <w:u w:val="single" w:color="auto"/>
            <w:color w:val="0000FF"/>
          </w:rPr>
          <w:t>First Amendment to Employment Agreement, dated as of November 1, 2007, by and between Boston Properties, Inc. and Robert E.</w:t>
        </w:r>
      </w:hyperlink>
      <w:r>
        <w:rPr>
          <w:rFonts w:ascii="Arial" w:cs="Arial" w:eastAsia="Arial" w:hAnsi="Arial"/>
          <w:sz w:val="15"/>
          <w:szCs w:val="15"/>
          <w:u w:val="single" w:color="auto"/>
          <w:color w:val="0000FF"/>
        </w:rPr>
        <w:t xml:space="preserve"> </w:t>
      </w:r>
      <w:hyperlink r:id="rId308">
        <w:r>
          <w:rPr>
            <w:rFonts w:ascii="Arial" w:cs="Arial" w:eastAsia="Arial" w:hAnsi="Arial"/>
            <w:sz w:val="15"/>
            <w:szCs w:val="15"/>
            <w:u w:val="single" w:color="auto"/>
            <w:color w:val="0000FF"/>
          </w:rPr>
          <w:t>Pester. (Incorporated by reference to Exhibit 10.9 to Boston Properties, Inc.’s Quarterly Report on Form 10-Q filed on November 9, 2007.)</w:t>
        </w:r>
      </w:hyperlink>
    </w:p>
    <w:p>
      <w:pPr>
        <w:spacing w:after="0" w:line="25" w:lineRule="exact"/>
        <w:rPr>
          <w:sz w:val="20"/>
          <w:szCs w:val="20"/>
          <w:color w:val="auto"/>
        </w:rPr>
      </w:pPr>
    </w:p>
    <w:p>
      <w:pPr>
        <w:ind w:left="1520" w:right="10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10.29* —</w:t>
      </w:r>
      <w:r>
        <w:rPr>
          <w:sz w:val="20"/>
          <w:szCs w:val="20"/>
          <w:color w:val="auto"/>
        </w:rPr>
        <w:tab/>
      </w:r>
      <w:hyperlink r:id="rId309">
        <w:r>
          <w:rPr>
            <w:rFonts w:ascii="Arial" w:cs="Arial" w:eastAsia="Arial" w:hAnsi="Arial"/>
            <w:sz w:val="15"/>
            <w:szCs w:val="15"/>
            <w:u w:val="single" w:color="auto"/>
            <w:color w:val="0000FF"/>
          </w:rPr>
          <w:t>Second Amendment to Employment Agreement, dated as of December 15, 2008, by and between Boston Properties, Inc. and Robert E.</w:t>
        </w:r>
      </w:hyperlink>
      <w:r>
        <w:rPr>
          <w:rFonts w:ascii="Arial" w:cs="Arial" w:eastAsia="Arial" w:hAnsi="Arial"/>
          <w:sz w:val="15"/>
          <w:szCs w:val="15"/>
          <w:u w:val="single" w:color="auto"/>
          <w:color w:val="0000FF"/>
        </w:rPr>
        <w:t xml:space="preserve"> </w:t>
      </w:r>
      <w:hyperlink r:id="rId309">
        <w:r>
          <w:rPr>
            <w:rFonts w:ascii="Arial" w:cs="Arial" w:eastAsia="Arial" w:hAnsi="Arial"/>
            <w:sz w:val="15"/>
            <w:szCs w:val="15"/>
            <w:u w:val="single" w:color="auto"/>
            <w:color w:val="0000FF"/>
          </w:rPr>
          <w:t>Pester. (Incorporated by reference to Exhibit 10.40 to Boston Properties, Inc.’s Annual Report on Form 10-K filed on March 2, 2009.)</w:t>
        </w:r>
      </w:hyperlink>
    </w:p>
    <w:p>
      <w:pPr>
        <w:spacing w:after="0" w:line="25" w:lineRule="exact"/>
        <w:rPr>
          <w:sz w:val="20"/>
          <w:szCs w:val="20"/>
          <w:color w:val="auto"/>
        </w:rPr>
      </w:pPr>
    </w:p>
    <w:p>
      <w:pPr>
        <w:ind w:left="1520" w:right="54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10.30* —</w:t>
      </w:r>
      <w:r>
        <w:rPr>
          <w:sz w:val="20"/>
          <w:szCs w:val="20"/>
          <w:color w:val="auto"/>
        </w:rPr>
        <w:tab/>
      </w:r>
      <w:hyperlink r:id="rId310">
        <w:r>
          <w:rPr>
            <w:rFonts w:ascii="Arial" w:cs="Arial" w:eastAsia="Arial" w:hAnsi="Arial"/>
            <w:sz w:val="16"/>
            <w:szCs w:val="16"/>
            <w:u w:val="single" w:color="auto"/>
            <w:color w:val="0000FF"/>
          </w:rPr>
          <w:t>Employment Agreement by and between Owen D. Thomas and Boston Properties, Inc. dated as of April 2, 2018. (Incorporated by</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reference to Exhibit 10.2 to Boston Properties, Inc.'s Quarterly Report on Form 10-Q filed on May 8, 2018.)</w:t>
        </w:r>
      </w:hyperlink>
    </w:p>
    <w:p>
      <w:pPr>
        <w:spacing w:after="0" w:line="25" w:lineRule="exact"/>
        <w:rPr>
          <w:sz w:val="20"/>
          <w:szCs w:val="20"/>
          <w:color w:val="auto"/>
        </w:rPr>
      </w:pPr>
    </w:p>
    <w:p>
      <w:pPr>
        <w:ind w:left="1520" w:right="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10.31* —</w:t>
      </w:r>
      <w:r>
        <w:rPr>
          <w:sz w:val="20"/>
          <w:szCs w:val="20"/>
          <w:color w:val="auto"/>
        </w:rPr>
        <w:tab/>
      </w:r>
      <w:hyperlink r:id="rId311">
        <w:r>
          <w:rPr>
            <w:rFonts w:ascii="Arial" w:cs="Arial" w:eastAsia="Arial" w:hAnsi="Arial"/>
            <w:sz w:val="16"/>
            <w:szCs w:val="16"/>
            <w:u w:val="single" w:color="auto"/>
            <w:color w:val="0000FF"/>
          </w:rPr>
          <w:t>Boston Properties, Inc. Senior Executive Severance Plan. (Incorporated by reference to Exhibit 10.19 to Boston Properties, Inc.’s Annual</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Report on Form 10-K filed on February 27, 2003.)</w:t>
        </w:r>
      </w:hyperlink>
    </w:p>
    <w:p>
      <w:pPr>
        <w:spacing w:after="0" w:line="25" w:lineRule="exact"/>
        <w:rPr>
          <w:sz w:val="20"/>
          <w:szCs w:val="20"/>
          <w:color w:val="auto"/>
        </w:rPr>
      </w:pPr>
    </w:p>
    <w:p>
      <w:pPr>
        <w:ind w:left="1520" w:right="56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10.32* —</w:t>
      </w:r>
      <w:r>
        <w:rPr>
          <w:sz w:val="20"/>
          <w:szCs w:val="20"/>
          <w:color w:val="auto"/>
        </w:rPr>
        <w:tab/>
      </w:r>
      <w:hyperlink r:id="rId312">
        <w:r>
          <w:rPr>
            <w:rFonts w:ascii="Arial" w:cs="Arial" w:eastAsia="Arial" w:hAnsi="Arial"/>
            <w:sz w:val="16"/>
            <w:szCs w:val="16"/>
            <w:u w:val="single" w:color="auto"/>
            <w:color w:val="0000FF"/>
          </w:rPr>
          <w:t>First Amendment to the Boston Properties, Inc. Senior Executive Severance Plan, dated as of October 18, 2007. (Incorporated by</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reference to Exhibit 10.13 to Boston Properties, Inc.’s Quarterly Report on Form 10-Q filed on November 9, 2007.)</w:t>
        </w:r>
      </w:hyperlink>
    </w:p>
    <w:p>
      <w:pPr>
        <w:spacing w:after="0" w:line="25" w:lineRule="exact"/>
        <w:rPr>
          <w:sz w:val="20"/>
          <w:szCs w:val="20"/>
          <w:color w:val="auto"/>
        </w:rPr>
      </w:pPr>
    </w:p>
    <w:p>
      <w:pPr>
        <w:ind w:left="1520" w:right="1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10.33* —</w:t>
      </w:r>
      <w:r>
        <w:rPr>
          <w:sz w:val="20"/>
          <w:szCs w:val="20"/>
          <w:color w:val="auto"/>
        </w:rPr>
        <w:tab/>
      </w:r>
      <w:hyperlink r:id="rId313">
        <w:r>
          <w:rPr>
            <w:rFonts w:ascii="Arial" w:cs="Arial" w:eastAsia="Arial" w:hAnsi="Arial"/>
            <w:sz w:val="16"/>
            <w:szCs w:val="16"/>
            <w:u w:val="single" w:color="auto"/>
            <w:color w:val="0000FF"/>
          </w:rPr>
          <w:t>Second Amendment to the Boston Properties, Inc. Senior Executive Severance Plan, dated as of December 15, 2008. (Incorporated by</w:t>
        </w:r>
      </w:hyperlink>
      <w:r>
        <w:rPr>
          <w:rFonts w:ascii="Arial" w:cs="Arial" w:eastAsia="Arial" w:hAnsi="Arial"/>
          <w:sz w:val="16"/>
          <w:szCs w:val="16"/>
          <w:u w:val="single" w:color="auto"/>
          <w:color w:val="0000FF"/>
        </w:rPr>
        <w:t xml:space="preserve"> </w:t>
      </w:r>
      <w:hyperlink r:id="rId313">
        <w:r>
          <w:rPr>
            <w:rFonts w:ascii="Arial" w:cs="Arial" w:eastAsia="Arial" w:hAnsi="Arial"/>
            <w:sz w:val="16"/>
            <w:szCs w:val="16"/>
            <w:u w:val="single" w:color="auto"/>
            <w:color w:val="0000FF"/>
          </w:rPr>
          <w:t>reference to Exhibit 10.52 to Boston Properties, Inc.’s Annual Report on Form 10-K filed on March 2, 2009.)</w:t>
        </w:r>
      </w:hyperlink>
    </w:p>
    <w:p>
      <w:pPr>
        <w:spacing w:after="0" w:line="25" w:lineRule="exact"/>
        <w:rPr>
          <w:sz w:val="20"/>
          <w:szCs w:val="20"/>
          <w:color w:val="auto"/>
        </w:rPr>
      </w:pPr>
    </w:p>
    <w:p>
      <w:pPr>
        <w:ind w:left="1520" w:right="60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10.34* —</w:t>
      </w:r>
      <w:r>
        <w:rPr>
          <w:sz w:val="20"/>
          <w:szCs w:val="20"/>
          <w:color w:val="auto"/>
        </w:rPr>
        <w:tab/>
      </w:r>
      <w:hyperlink r:id="rId314">
        <w:r>
          <w:rPr>
            <w:rFonts w:ascii="Arial" w:cs="Arial" w:eastAsia="Arial" w:hAnsi="Arial"/>
            <w:sz w:val="16"/>
            <w:szCs w:val="16"/>
            <w:u w:val="single" w:color="auto"/>
            <w:color w:val="0000FF"/>
          </w:rPr>
          <w:t>Third Amendment to the Boston Properties, Inc. Senior Executive Severance Plan, dated as of January 8, 2014. (Incorporated by</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reference to Exhibit 10.48 to Boston Properties, Inc.’s Annual Report on Form 10-K filed on February 28, 2014.)</w:t>
        </w:r>
      </w:hyperlink>
    </w:p>
    <w:p>
      <w:pPr>
        <w:spacing w:after="0" w:line="25" w:lineRule="exact"/>
        <w:rPr>
          <w:sz w:val="20"/>
          <w:szCs w:val="20"/>
          <w:color w:val="auto"/>
        </w:rPr>
      </w:pPr>
    </w:p>
    <w:p>
      <w:pPr>
        <w:ind w:left="1520" w:right="4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10.35* —</w:t>
      </w:r>
      <w:r>
        <w:rPr>
          <w:sz w:val="20"/>
          <w:szCs w:val="20"/>
          <w:color w:val="auto"/>
        </w:rPr>
        <w:tab/>
      </w:r>
      <w:hyperlink r:id="rId315">
        <w:r>
          <w:rPr>
            <w:rFonts w:ascii="Arial" w:cs="Arial" w:eastAsia="Arial" w:hAnsi="Arial"/>
            <w:sz w:val="16"/>
            <w:szCs w:val="16"/>
            <w:u w:val="single" w:color="auto"/>
            <w:color w:val="0000FF"/>
          </w:rPr>
          <w:t>Boston Properties, Inc. Executive Severance Plan, dated as of July 30, 1998. (Incorporated by reference to Exhibit 10.20 to Boston</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Properties, Inc.’s Annual Report on Form 10-K filed on February 27, 2003.)</w:t>
        </w:r>
      </w:hyperlink>
    </w:p>
    <w:p>
      <w:pPr>
        <w:spacing w:after="0" w:line="25" w:lineRule="exact"/>
        <w:rPr>
          <w:sz w:val="20"/>
          <w:szCs w:val="20"/>
          <w:color w:val="auto"/>
        </w:rPr>
      </w:pPr>
    </w:p>
    <w:p>
      <w:pPr>
        <w:ind w:left="1520" w:right="18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10.36* —</w:t>
      </w:r>
      <w:r>
        <w:rPr>
          <w:sz w:val="20"/>
          <w:szCs w:val="20"/>
          <w:color w:val="auto"/>
        </w:rPr>
        <w:tab/>
      </w:r>
      <w:hyperlink r:id="rId316">
        <w:r>
          <w:rPr>
            <w:rFonts w:ascii="Arial" w:cs="Arial" w:eastAsia="Arial" w:hAnsi="Arial"/>
            <w:sz w:val="16"/>
            <w:szCs w:val="16"/>
            <w:u w:val="single" w:color="auto"/>
            <w:color w:val="0000FF"/>
          </w:rPr>
          <w:t>First Amendment to the Boston Properties, Inc. Executive Severance Plan, dated as of October 18, 2007. (Incorporated by reference to</w:t>
        </w:r>
      </w:hyperlink>
      <w:r>
        <w:rPr>
          <w:rFonts w:ascii="Arial" w:cs="Arial" w:eastAsia="Arial" w:hAnsi="Arial"/>
          <w:sz w:val="16"/>
          <w:szCs w:val="16"/>
          <w:u w:val="single" w:color="auto"/>
          <w:color w:val="0000FF"/>
        </w:rPr>
        <w:t xml:space="preserve"> </w:t>
      </w:r>
      <w:hyperlink r:id="rId316">
        <w:r>
          <w:rPr>
            <w:rFonts w:ascii="Arial" w:cs="Arial" w:eastAsia="Arial" w:hAnsi="Arial"/>
            <w:sz w:val="16"/>
            <w:szCs w:val="16"/>
            <w:u w:val="single" w:color="auto"/>
            <w:color w:val="0000FF"/>
          </w:rPr>
          <w:t>Exhibit 10.14 to Boston Properties, Inc.’s Quarterly Report on Form 10-Q filed on November 9, 2007.)</w:t>
        </w:r>
      </w:hyperlink>
    </w:p>
    <w:p>
      <w:pPr>
        <w:spacing w:after="0" w:line="25" w:lineRule="exact"/>
        <w:rPr>
          <w:sz w:val="20"/>
          <w:szCs w:val="20"/>
          <w:color w:val="auto"/>
        </w:rPr>
      </w:pPr>
    </w:p>
    <w:p>
      <w:pPr>
        <w:ind w:left="1520" w:right="4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10.37* —</w:t>
      </w:r>
      <w:r>
        <w:rPr>
          <w:sz w:val="20"/>
          <w:szCs w:val="20"/>
          <w:color w:val="auto"/>
        </w:rPr>
        <w:tab/>
      </w:r>
      <w:hyperlink r:id="rId317">
        <w:r>
          <w:rPr>
            <w:rFonts w:ascii="Arial" w:cs="Arial" w:eastAsia="Arial" w:hAnsi="Arial"/>
            <w:sz w:val="16"/>
            <w:szCs w:val="16"/>
            <w:u w:val="single" w:color="auto"/>
            <w:color w:val="0000FF"/>
          </w:rPr>
          <w:t>Second Amendment to the Boston Properties, Inc. Executive Severance Plan, dated as of January 8, 2014. (Incorporated by reference to</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Exhibit 10.51 to Boston Properties, Inc.’s Annual Report on Form 10-K filed on February 28, 2014.)</w:t>
        </w:r>
      </w:hyperlink>
    </w:p>
    <w:p>
      <w:pPr>
        <w:spacing w:after="0" w:line="25" w:lineRule="exact"/>
        <w:rPr>
          <w:sz w:val="20"/>
          <w:szCs w:val="20"/>
          <w:color w:val="auto"/>
        </w:rPr>
      </w:pPr>
    </w:p>
    <w:p>
      <w:pPr>
        <w:ind w:left="1520" w:right="70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10.38* —</w:t>
      </w:r>
      <w:r>
        <w:rPr>
          <w:sz w:val="20"/>
          <w:szCs w:val="20"/>
          <w:color w:val="auto"/>
        </w:rPr>
        <w:tab/>
      </w:r>
      <w:hyperlink r:id="rId318">
        <w:r>
          <w:rPr>
            <w:rFonts w:ascii="Arial" w:cs="Arial" w:eastAsia="Arial" w:hAnsi="Arial"/>
            <w:sz w:val="16"/>
            <w:szCs w:val="16"/>
            <w:u w:val="single" w:color="auto"/>
            <w:color w:val="0000FF"/>
          </w:rPr>
          <w:t>Boston Properties, Inc. Officer Severance Plan, dated as of July 30, 1998. (Incorporated by reference to Exhibit 10.15 to Boston</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Properties, Inc.’s Quarterly Report on Form 10-Q filed on November 9, 2007.)</w:t>
        </w:r>
      </w:hyperlink>
    </w:p>
    <w:p>
      <w:pPr>
        <w:spacing w:after="0" w:line="25" w:lineRule="exact"/>
        <w:rPr>
          <w:sz w:val="20"/>
          <w:szCs w:val="20"/>
          <w:color w:val="auto"/>
        </w:rPr>
      </w:pPr>
    </w:p>
    <w:p>
      <w:pPr>
        <w:ind w:left="1520" w:right="40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10.39* —</w:t>
      </w:r>
      <w:r>
        <w:rPr>
          <w:sz w:val="20"/>
          <w:szCs w:val="20"/>
          <w:color w:val="auto"/>
        </w:rPr>
        <w:tab/>
      </w:r>
      <w:hyperlink r:id="rId319">
        <w:r>
          <w:rPr>
            <w:rFonts w:ascii="Arial" w:cs="Arial" w:eastAsia="Arial" w:hAnsi="Arial"/>
            <w:sz w:val="16"/>
            <w:szCs w:val="16"/>
            <w:u w:val="single" w:color="auto"/>
            <w:color w:val="0000FF"/>
          </w:rPr>
          <w:t>First Amendment to the Boston Properties, Inc. Officer Severance Plan, dated as of October 18, 2007. (Incorporated by reference to</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Exhibit 10.16 to Boston Properties, Inc.’s Quarterly Report on Form 10-Q filed on November 9, 2007.)</w:t>
        </w:r>
      </w:hyperlink>
    </w:p>
    <w:p>
      <w:pPr>
        <w:spacing w:after="0" w:line="25" w:lineRule="exact"/>
        <w:rPr>
          <w:sz w:val="20"/>
          <w:szCs w:val="20"/>
          <w:color w:val="auto"/>
        </w:rPr>
      </w:pPr>
    </w:p>
    <w:p>
      <w:pPr>
        <w:ind w:left="152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10.40* —</w:t>
      </w:r>
      <w:r>
        <w:rPr>
          <w:sz w:val="20"/>
          <w:szCs w:val="20"/>
          <w:color w:val="auto"/>
        </w:rPr>
        <w:tab/>
      </w:r>
      <w:hyperlink r:id="rId320">
        <w:r>
          <w:rPr>
            <w:rFonts w:ascii="Arial" w:cs="Arial" w:eastAsia="Arial" w:hAnsi="Arial"/>
            <w:sz w:val="16"/>
            <w:szCs w:val="16"/>
            <w:u w:val="single" w:color="auto"/>
            <w:color w:val="0000FF"/>
          </w:rPr>
          <w:t>Second Amendment to the Boston Properties, Inc. Officer Severance Plan, dated as of December 15, 2008. (Incorporated by reference to</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Exhibit 10.57 to Boston Properties, Inc.’s Annual Report on Form 10-K filed on March 2, 2009.)</w:t>
        </w:r>
      </w:hyperlink>
    </w:p>
    <w:p>
      <w:pPr>
        <w:spacing w:after="0" w:line="25" w:lineRule="exact"/>
        <w:rPr>
          <w:sz w:val="20"/>
          <w:szCs w:val="20"/>
          <w:color w:val="auto"/>
        </w:rPr>
      </w:pPr>
    </w:p>
    <w:p>
      <w:pPr>
        <w:ind w:left="1520" w:right="20" w:hanging="949"/>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10.41* —</w:t>
      </w:r>
      <w:r>
        <w:rPr>
          <w:sz w:val="20"/>
          <w:szCs w:val="20"/>
          <w:color w:val="auto"/>
        </w:rPr>
        <w:tab/>
      </w:r>
      <w:hyperlink r:id="rId321">
        <w:r>
          <w:rPr>
            <w:rFonts w:ascii="Arial" w:cs="Arial" w:eastAsia="Arial" w:hAnsi="Arial"/>
            <w:sz w:val="15"/>
            <w:szCs w:val="15"/>
            <w:u w:val="single" w:color="auto"/>
            <w:color w:val="0000FF"/>
          </w:rPr>
          <w:t>Form of Indemnification Agreement by and among Boston Properties, Inc., Boston Properties Limited Partnership and certain officers and</w:t>
        </w:r>
      </w:hyperlink>
      <w:r>
        <w:rPr>
          <w:rFonts w:ascii="Arial" w:cs="Arial" w:eastAsia="Arial" w:hAnsi="Arial"/>
          <w:sz w:val="15"/>
          <w:szCs w:val="15"/>
          <w:u w:val="single" w:color="auto"/>
          <w:color w:val="0000FF"/>
        </w:rPr>
        <w:t xml:space="preserve"> </w:t>
      </w:r>
      <w:hyperlink r:id="rId321">
        <w:r>
          <w:rPr>
            <w:rFonts w:ascii="Arial" w:cs="Arial" w:eastAsia="Arial" w:hAnsi="Arial"/>
            <w:sz w:val="15"/>
            <w:szCs w:val="15"/>
            <w:u w:val="single" w:color="auto"/>
            <w:color w:val="0000FF"/>
          </w:rPr>
          <w:t>directors of the Company. (Incorporated by reference to Exhibit 10.43 to Boston Properties, Inc.’s Annual Report on Form 10-K filed on</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321">
        <w:r>
          <w:rPr>
            <w:rFonts w:ascii="Arial" w:cs="Arial" w:eastAsia="Arial" w:hAnsi="Arial"/>
            <w:sz w:val="16"/>
            <w:szCs w:val="16"/>
            <w:u w:val="single" w:color="auto"/>
            <w:color w:val="0000FF"/>
          </w:rPr>
          <w:t>March 2, 2020.)</w:t>
        </w:r>
      </w:hyperlink>
    </w:p>
    <w:p>
      <w:pPr>
        <w:spacing w:after="0" w:line="6" w:lineRule="exact"/>
        <w:rPr>
          <w:sz w:val="20"/>
          <w:szCs w:val="20"/>
          <w:color w:val="auto"/>
        </w:rPr>
      </w:pPr>
    </w:p>
    <w:p>
      <w:pPr>
        <w:ind w:left="1520" w:right="640" w:hanging="949"/>
        <w:spacing w:after="0" w:line="238"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10.42* —</w:t>
      </w:r>
      <w:r>
        <w:rPr>
          <w:sz w:val="20"/>
          <w:szCs w:val="20"/>
          <w:color w:val="auto"/>
        </w:rPr>
        <w:tab/>
      </w:r>
      <w:hyperlink r:id="rId322">
        <w:r>
          <w:rPr>
            <w:rFonts w:ascii="Arial" w:cs="Arial" w:eastAsia="Arial" w:hAnsi="Arial"/>
            <w:sz w:val="15"/>
            <w:szCs w:val="15"/>
            <w:u w:val="single" w:color="auto"/>
            <w:color w:val="0000FF"/>
          </w:rPr>
          <w:t>Director Appointment Agreement, dated as of January 20, 2011, by and between Matthew J. Lustig and Boston Properties, Inc.</w:t>
        </w:r>
      </w:hyperlink>
      <w:r>
        <w:rPr>
          <w:rFonts w:ascii="Arial" w:cs="Arial" w:eastAsia="Arial" w:hAnsi="Arial"/>
          <w:sz w:val="15"/>
          <w:szCs w:val="15"/>
          <w:u w:val="single" w:color="auto"/>
          <w:color w:val="0000FF"/>
        </w:rPr>
        <w:t xml:space="preserve"> </w:t>
      </w:r>
      <w:hyperlink r:id="rId322">
        <w:r>
          <w:rPr>
            <w:rFonts w:ascii="Arial" w:cs="Arial" w:eastAsia="Arial" w:hAnsi="Arial"/>
            <w:sz w:val="15"/>
            <w:szCs w:val="15"/>
            <w:u w:val="single" w:color="auto"/>
            <w:color w:val="0000FF"/>
          </w:rPr>
          <w:t>(Incorporated by reference to Exhibit 10.55 to Boston Properties, Inc.’s Annual Report on Form 10-K filed on February 25, 2011.)</w:t>
        </w:r>
      </w:hyperlink>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40"/>
          </w:cols>
          <w:pgMar w:left="320" w:top="281" w:right="43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left="1520" w:right="60" w:hanging="949"/>
        <w:spacing w:after="0" w:line="223"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10.43* —</w:t>
      </w:r>
      <w:r>
        <w:rPr>
          <w:sz w:val="20"/>
          <w:szCs w:val="20"/>
          <w:color w:val="auto"/>
        </w:rPr>
        <w:tab/>
      </w:r>
      <w:hyperlink r:id="rId324">
        <w:r>
          <w:rPr>
            <w:rFonts w:ascii="Arial" w:cs="Arial" w:eastAsia="Arial" w:hAnsi="Arial"/>
            <w:sz w:val="16"/>
            <w:szCs w:val="16"/>
            <w:u w:val="single" w:color="auto"/>
            <w:color w:val="0000FF"/>
          </w:rPr>
          <w:t>Boston Properties, Inc. Non-Employee Director Compensation Plan. (Incorporated by reference to Appendix B to Boston Properties, Inc.’s</w:t>
        </w:r>
      </w:hyperlink>
      <w:r>
        <w:rPr>
          <w:rFonts w:ascii="Arial" w:cs="Arial" w:eastAsia="Arial" w:hAnsi="Arial"/>
          <w:sz w:val="16"/>
          <w:szCs w:val="16"/>
          <w:u w:val="single" w:color="auto"/>
          <w:color w:val="0000FF"/>
        </w:rPr>
        <w:t xml:space="preserve"> </w:t>
      </w:r>
      <w:hyperlink r:id="rId324">
        <w:r>
          <w:rPr>
            <w:rFonts w:ascii="Arial" w:cs="Arial" w:eastAsia="Arial" w:hAnsi="Arial"/>
            <w:sz w:val="16"/>
            <w:szCs w:val="16"/>
            <w:u w:val="single" w:color="auto"/>
            <w:color w:val="0000FF"/>
          </w:rPr>
          <w:t>Proxy Statement on Schedule 14A filed on April 6, 2022.)</w:t>
        </w:r>
      </w:hyperlink>
    </w:p>
    <w:p>
      <w:pPr>
        <w:spacing w:after="0" w:line="25" w:lineRule="exact"/>
        <w:rPr>
          <w:sz w:val="20"/>
          <w:szCs w:val="20"/>
          <w:color w:val="auto"/>
        </w:rPr>
      </w:pPr>
    </w:p>
    <w:p>
      <w:pPr>
        <w:ind w:left="1520" w:hanging="940"/>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10.44 —</w:t>
      </w:r>
      <w:r>
        <w:rPr>
          <w:sz w:val="20"/>
          <w:szCs w:val="20"/>
          <w:color w:val="auto"/>
        </w:rPr>
        <w:tab/>
      </w:r>
      <w:hyperlink r:id="rId325">
        <w:r>
          <w:rPr>
            <w:rFonts w:ascii="Arial" w:cs="Arial" w:eastAsia="Arial" w:hAnsi="Arial"/>
            <w:sz w:val="15"/>
            <w:szCs w:val="15"/>
            <w:u w:val="single" w:color="auto"/>
            <w:color w:val="0000FF"/>
          </w:rPr>
          <w:t>Ninth Amended and Restated Credit Agreement, dated as of June 15, 2021, among Boston Properties Limited Partnership and the lenders</w:t>
        </w:r>
      </w:hyperlink>
      <w:r>
        <w:rPr>
          <w:rFonts w:ascii="Arial" w:cs="Arial" w:eastAsia="Arial" w:hAnsi="Arial"/>
          <w:sz w:val="15"/>
          <w:szCs w:val="15"/>
          <w:u w:val="single" w:color="auto"/>
          <w:color w:val="0000FF"/>
        </w:rPr>
        <w:t xml:space="preserve"> </w:t>
      </w:r>
      <w:hyperlink r:id="rId325">
        <w:r>
          <w:rPr>
            <w:rFonts w:ascii="Arial" w:cs="Arial" w:eastAsia="Arial" w:hAnsi="Arial"/>
            <w:sz w:val="15"/>
            <w:szCs w:val="15"/>
            <w:u w:val="single" w:color="auto"/>
            <w:color w:val="0000FF"/>
          </w:rPr>
          <w:t>identified therein. (Incorporated by reference to Exhibit 10.1 to the Current Report on Form 8-K of Boston Properties, Inc. and Boston</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325">
        <w:r>
          <w:rPr>
            <w:rFonts w:ascii="Arial" w:cs="Arial" w:eastAsia="Arial" w:hAnsi="Arial"/>
            <w:sz w:val="16"/>
            <w:szCs w:val="16"/>
            <w:u w:val="single" w:color="auto"/>
            <w:color w:val="0000FF"/>
          </w:rPr>
          <w:t>Properties Limited Partnership filed on June 16, 2021.)</w:t>
        </w:r>
      </w:hyperlink>
    </w:p>
    <w:p>
      <w:pPr>
        <w:spacing w:after="0" w:line="6" w:lineRule="exact"/>
        <w:rPr>
          <w:sz w:val="20"/>
          <w:szCs w:val="20"/>
          <w:color w:val="auto"/>
        </w:rPr>
      </w:pPr>
    </w:p>
    <w:p>
      <w:pPr>
        <w:ind w:left="1520" w:right="340" w:hanging="940"/>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10.45 —</w:t>
      </w:r>
      <w:r>
        <w:rPr>
          <w:sz w:val="20"/>
          <w:szCs w:val="20"/>
          <w:color w:val="auto"/>
        </w:rPr>
        <w:tab/>
      </w:r>
      <w:hyperlink r:id="rId326">
        <w:r>
          <w:rPr>
            <w:rFonts w:ascii="Arial" w:cs="Arial" w:eastAsia="Arial" w:hAnsi="Arial"/>
            <w:sz w:val="15"/>
            <w:szCs w:val="15"/>
            <w:u w:val="single" w:color="auto"/>
            <w:color w:val="0000FF"/>
          </w:rPr>
          <w:t>Credit Agreement, dated as of January 4, 2023, among Boston Properties Limited Partnership and the lenders identified therein.</w:t>
        </w:r>
      </w:hyperlink>
      <w:r>
        <w:rPr>
          <w:rFonts w:ascii="Arial" w:cs="Arial" w:eastAsia="Arial" w:hAnsi="Arial"/>
          <w:sz w:val="15"/>
          <w:szCs w:val="15"/>
          <w:u w:val="single" w:color="auto"/>
          <w:color w:val="0000FF"/>
        </w:rPr>
        <w:t xml:space="preserve"> </w:t>
      </w:r>
      <w:hyperlink r:id="rId326">
        <w:r>
          <w:rPr>
            <w:rFonts w:ascii="Arial" w:cs="Arial" w:eastAsia="Arial" w:hAnsi="Arial"/>
            <w:sz w:val="15"/>
            <w:szCs w:val="15"/>
            <w:u w:val="single" w:color="auto"/>
            <w:color w:val="0000FF"/>
          </w:rPr>
          <w:t>(Incorporated by reference to Exhibit 10.1 to the Current Report on Form 8-K of Boston Properties, Inc. and Boston Properties Limited</w:t>
        </w:r>
      </w:hyperlink>
    </w:p>
    <w:p>
      <w:pPr>
        <w:spacing w:after="0" w:line="13" w:lineRule="exact"/>
        <w:rPr>
          <w:sz w:val="20"/>
          <w:szCs w:val="20"/>
          <w:color w:val="auto"/>
        </w:rPr>
      </w:pPr>
    </w:p>
    <w:p>
      <w:pPr>
        <w:ind w:left="1520"/>
        <w:spacing w:after="0"/>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Partnership filed on January 9, 2023.)</w:t>
        </w:r>
      </w:hyperlink>
    </w:p>
    <w:p>
      <w:pPr>
        <w:spacing w:after="0" w:line="6" w:lineRule="exact"/>
        <w:rPr>
          <w:sz w:val="20"/>
          <w:szCs w:val="20"/>
          <w:color w:val="auto"/>
        </w:rPr>
      </w:pPr>
    </w:p>
    <w:p>
      <w:pPr>
        <w:ind w:left="680"/>
        <w:spacing w:after="0"/>
        <w:tabs>
          <w:tab w:leader="none" w:pos="1500" w:val="left"/>
        </w:tabs>
        <w:rPr>
          <w:sz w:val="20"/>
          <w:szCs w:val="20"/>
          <w:color w:val="auto"/>
        </w:rPr>
      </w:pPr>
      <w:r>
        <w:rPr>
          <w:rFonts w:ascii="Arial" w:cs="Arial" w:eastAsia="Arial" w:hAnsi="Arial"/>
          <w:sz w:val="16"/>
          <w:szCs w:val="16"/>
          <w:color w:val="auto"/>
        </w:rPr>
        <w:t>21.1 —</w:t>
      </w:r>
      <w:r>
        <w:rPr>
          <w:sz w:val="20"/>
          <w:szCs w:val="20"/>
          <w:color w:val="auto"/>
        </w:rPr>
        <w:tab/>
      </w:r>
      <w:r>
        <w:rPr>
          <w:rFonts w:ascii="Arial" w:cs="Arial" w:eastAsia="Arial" w:hAnsi="Arial"/>
          <w:sz w:val="15"/>
          <w:szCs w:val="15"/>
          <w:u w:val="single" w:color="auto"/>
          <w:color w:val="0000FF"/>
        </w:rPr>
        <w:t>Subsidiaries of Boston Properties, Inc. and Boston Properties Limited Partnership (Filed herewith.)</w:t>
      </w:r>
    </w:p>
    <w:p>
      <w:pPr>
        <w:spacing w:after="0" w:line="17" w:lineRule="exact"/>
        <w:rPr>
          <w:sz w:val="20"/>
          <w:szCs w:val="20"/>
          <w:color w:val="auto"/>
        </w:rPr>
      </w:pPr>
    </w:p>
    <w:p>
      <w:pPr>
        <w:ind w:left="680"/>
        <w:spacing w:after="0"/>
        <w:tabs>
          <w:tab w:leader="none" w:pos="1500" w:val="left"/>
        </w:tabs>
        <w:rPr>
          <w:sz w:val="20"/>
          <w:szCs w:val="20"/>
          <w:color w:val="auto"/>
        </w:rPr>
      </w:pPr>
      <w:r>
        <w:rPr>
          <w:rFonts w:ascii="Arial" w:cs="Arial" w:eastAsia="Arial" w:hAnsi="Arial"/>
          <w:sz w:val="16"/>
          <w:szCs w:val="16"/>
          <w:color w:val="auto"/>
        </w:rPr>
        <w:t>23.1 —</w:t>
      </w:r>
      <w:r>
        <w:rPr>
          <w:sz w:val="20"/>
          <w:szCs w:val="20"/>
          <w:color w:val="auto"/>
        </w:rPr>
        <w:tab/>
      </w:r>
      <w:r>
        <w:rPr>
          <w:rFonts w:ascii="Arial" w:cs="Arial" w:eastAsia="Arial" w:hAnsi="Arial"/>
          <w:sz w:val="15"/>
          <w:szCs w:val="15"/>
          <w:u w:val="single" w:color="auto"/>
          <w:color w:val="0000FF"/>
        </w:rPr>
        <w:t>Consent of PricewaterhouseCoopers LLP, Independent Registered Public Accounting firm for Boston Properties, Inc. (Filed herewith.)</w:t>
      </w:r>
    </w:p>
    <w:p>
      <w:pPr>
        <w:spacing w:after="0" w:line="17" w:lineRule="exact"/>
        <w:rPr>
          <w:sz w:val="20"/>
          <w:szCs w:val="20"/>
          <w:color w:val="auto"/>
        </w:rPr>
      </w:pPr>
    </w:p>
    <w:p>
      <w:pPr>
        <w:ind w:left="1520" w:hanging="852"/>
        <w:spacing w:after="0" w:line="223" w:lineRule="auto"/>
        <w:tabs>
          <w:tab w:leader="none" w:pos="1500" w:val="left"/>
        </w:tabs>
        <w:rPr>
          <w:sz w:val="20"/>
          <w:szCs w:val="20"/>
          <w:color w:val="auto"/>
        </w:rPr>
      </w:pPr>
      <w:r>
        <w:rPr>
          <w:rFonts w:ascii="Arial" w:cs="Arial" w:eastAsia="Arial" w:hAnsi="Arial"/>
          <w:sz w:val="16"/>
          <w:szCs w:val="16"/>
          <w:color w:val="auto"/>
        </w:rPr>
        <w:t>23.2 —</w:t>
      </w:r>
      <w:r>
        <w:rPr>
          <w:sz w:val="20"/>
          <w:szCs w:val="20"/>
          <w:color w:val="auto"/>
        </w:rPr>
        <w:tab/>
      </w:r>
      <w:r>
        <w:rPr>
          <w:rFonts w:ascii="Arial" w:cs="Arial" w:eastAsia="Arial" w:hAnsi="Arial"/>
          <w:sz w:val="16"/>
          <w:szCs w:val="16"/>
          <w:u w:val="single" w:color="auto"/>
          <w:color w:val="0000FF"/>
        </w:rPr>
        <w:t>Consent of PricewaterhouseCoopers LLP, Independent Registered Public Accounting firm for Boston Properties Limited Partnership. (Filed herewith.)</w:t>
      </w:r>
    </w:p>
    <w:p>
      <w:pPr>
        <w:spacing w:after="0" w:line="25" w:lineRule="exact"/>
        <w:rPr>
          <w:sz w:val="20"/>
          <w:szCs w:val="20"/>
          <w:color w:val="auto"/>
        </w:rPr>
      </w:pPr>
    </w:p>
    <w:p>
      <w:pPr>
        <w:ind w:left="1520" w:right="40" w:hanging="852"/>
        <w:spacing w:after="0" w:line="223" w:lineRule="auto"/>
        <w:tabs>
          <w:tab w:leader="none" w:pos="1500" w:val="left"/>
        </w:tabs>
        <w:rPr>
          <w:sz w:val="20"/>
          <w:szCs w:val="20"/>
          <w:color w:val="auto"/>
        </w:rPr>
      </w:pPr>
      <w:r>
        <w:rPr>
          <w:rFonts w:ascii="Arial" w:cs="Arial" w:eastAsia="Arial" w:hAnsi="Arial"/>
          <w:sz w:val="16"/>
          <w:szCs w:val="16"/>
          <w:color w:val="auto"/>
        </w:rPr>
        <w:t>31.1 —</w:t>
      </w:r>
      <w:r>
        <w:rPr>
          <w:sz w:val="20"/>
          <w:szCs w:val="20"/>
          <w:color w:val="auto"/>
        </w:rPr>
        <w:tab/>
      </w:r>
      <w:r>
        <w:rPr>
          <w:rFonts w:ascii="Arial" w:cs="Arial" w:eastAsia="Arial" w:hAnsi="Arial"/>
          <w:sz w:val="16"/>
          <w:szCs w:val="16"/>
          <w:u w:val="single" w:color="auto"/>
          <w:color w:val="0000FF"/>
        </w:rPr>
        <w:t>Rule 13a-14(a)/15d-14(a) Certification of Chief Executive Officer of Boston Properties, Inc. pursuant to Section 302 of the Sarbanes-Oxley Act of 2002. (Filed herewith.)</w:t>
      </w:r>
    </w:p>
    <w:p>
      <w:pPr>
        <w:spacing w:after="0" w:line="25" w:lineRule="exact"/>
        <w:rPr>
          <w:sz w:val="20"/>
          <w:szCs w:val="20"/>
          <w:color w:val="auto"/>
        </w:rPr>
      </w:pPr>
    </w:p>
    <w:p>
      <w:pPr>
        <w:ind w:left="1520" w:right="100" w:hanging="852"/>
        <w:spacing w:after="0" w:line="223" w:lineRule="auto"/>
        <w:tabs>
          <w:tab w:leader="none" w:pos="1500" w:val="left"/>
        </w:tabs>
        <w:rPr>
          <w:sz w:val="20"/>
          <w:szCs w:val="20"/>
          <w:color w:val="auto"/>
        </w:rPr>
      </w:pPr>
      <w:r>
        <w:rPr>
          <w:rFonts w:ascii="Arial" w:cs="Arial" w:eastAsia="Arial" w:hAnsi="Arial"/>
          <w:sz w:val="16"/>
          <w:szCs w:val="16"/>
          <w:color w:val="auto"/>
        </w:rPr>
        <w:t>31.2 —</w:t>
      </w:r>
      <w:r>
        <w:rPr>
          <w:sz w:val="20"/>
          <w:szCs w:val="20"/>
          <w:color w:val="auto"/>
        </w:rPr>
        <w:tab/>
      </w:r>
      <w:r>
        <w:rPr>
          <w:rFonts w:ascii="Arial" w:cs="Arial" w:eastAsia="Arial" w:hAnsi="Arial"/>
          <w:sz w:val="16"/>
          <w:szCs w:val="16"/>
          <w:u w:val="single" w:color="auto"/>
          <w:color w:val="0000FF"/>
        </w:rPr>
        <w:t>Rule 13a-14(a)/15d-14(a) Certification of Chief Financial Officer of Boston Properties, Inc. pursuant to Section 302 of the Sarbanes-Oxley Act of 2002. (Filed herewith.)</w:t>
      </w:r>
    </w:p>
    <w:p>
      <w:pPr>
        <w:spacing w:after="0" w:line="25" w:lineRule="exact"/>
        <w:rPr>
          <w:sz w:val="20"/>
          <w:szCs w:val="20"/>
          <w:color w:val="auto"/>
        </w:rPr>
      </w:pPr>
    </w:p>
    <w:p>
      <w:pPr>
        <w:ind w:left="1520" w:right="160" w:hanging="852"/>
        <w:spacing w:after="0" w:line="223" w:lineRule="auto"/>
        <w:tabs>
          <w:tab w:leader="none" w:pos="1500" w:val="left"/>
        </w:tabs>
        <w:rPr>
          <w:sz w:val="20"/>
          <w:szCs w:val="20"/>
          <w:color w:val="auto"/>
        </w:rPr>
      </w:pPr>
      <w:r>
        <w:rPr>
          <w:rFonts w:ascii="Arial" w:cs="Arial" w:eastAsia="Arial" w:hAnsi="Arial"/>
          <w:sz w:val="16"/>
          <w:szCs w:val="16"/>
          <w:color w:val="auto"/>
        </w:rPr>
        <w:t>31.3 —</w:t>
      </w:r>
      <w:r>
        <w:rPr>
          <w:sz w:val="20"/>
          <w:szCs w:val="20"/>
          <w:color w:val="auto"/>
        </w:rPr>
        <w:tab/>
      </w:r>
      <w:r>
        <w:rPr>
          <w:rFonts w:ascii="Arial" w:cs="Arial" w:eastAsia="Arial" w:hAnsi="Arial"/>
          <w:sz w:val="16"/>
          <w:szCs w:val="16"/>
          <w:u w:val="single" w:color="auto"/>
          <w:color w:val="0000FF"/>
        </w:rPr>
        <w:t>Rule 13a-14(a)/15d-14(a) Certification of Chief Executive Officer of Boston Properties Limited Partnership pursuant to Section 302 of the Sarbanes-Oxley Act of 2002. (Filed herewith.)</w:t>
      </w:r>
    </w:p>
    <w:p>
      <w:pPr>
        <w:spacing w:after="0" w:line="25" w:lineRule="exact"/>
        <w:rPr>
          <w:sz w:val="20"/>
          <w:szCs w:val="20"/>
          <w:color w:val="auto"/>
        </w:rPr>
      </w:pPr>
    </w:p>
    <w:p>
      <w:pPr>
        <w:ind w:left="1520" w:right="220" w:hanging="852"/>
        <w:spacing w:after="0" w:line="223" w:lineRule="auto"/>
        <w:tabs>
          <w:tab w:leader="none" w:pos="1500" w:val="left"/>
        </w:tabs>
        <w:rPr>
          <w:sz w:val="20"/>
          <w:szCs w:val="20"/>
          <w:color w:val="auto"/>
        </w:rPr>
      </w:pPr>
      <w:r>
        <w:rPr>
          <w:rFonts w:ascii="Arial" w:cs="Arial" w:eastAsia="Arial" w:hAnsi="Arial"/>
          <w:sz w:val="16"/>
          <w:szCs w:val="16"/>
          <w:color w:val="auto"/>
        </w:rPr>
        <w:t>31.4 —</w:t>
      </w:r>
      <w:r>
        <w:rPr>
          <w:sz w:val="20"/>
          <w:szCs w:val="20"/>
          <w:color w:val="auto"/>
        </w:rPr>
        <w:tab/>
      </w:r>
      <w:r>
        <w:rPr>
          <w:rFonts w:ascii="Arial" w:cs="Arial" w:eastAsia="Arial" w:hAnsi="Arial"/>
          <w:sz w:val="16"/>
          <w:szCs w:val="16"/>
          <w:u w:val="single" w:color="auto"/>
          <w:color w:val="0000FF"/>
        </w:rPr>
        <w:t>Rule 13a-14(a)/15d-14(a) Certification of Chief Financial Officer of Boston Properties Limited Partnership pursuant to Section 302 of the Sarbanes-Oxley Act of 2002. (Filed herewith.)</w:t>
      </w:r>
    </w:p>
    <w:p>
      <w:pPr>
        <w:spacing w:after="0" w:line="25" w:lineRule="exact"/>
        <w:rPr>
          <w:sz w:val="20"/>
          <w:szCs w:val="20"/>
          <w:color w:val="auto"/>
        </w:rPr>
      </w:pPr>
    </w:p>
    <w:p>
      <w:pPr>
        <w:ind w:left="1520" w:right="20" w:hanging="852"/>
        <w:spacing w:after="0" w:line="223" w:lineRule="auto"/>
        <w:tabs>
          <w:tab w:leader="none" w:pos="1500" w:val="left"/>
        </w:tabs>
        <w:rPr>
          <w:sz w:val="20"/>
          <w:szCs w:val="20"/>
          <w:color w:val="auto"/>
        </w:rPr>
      </w:pPr>
      <w:r>
        <w:rPr>
          <w:rFonts w:ascii="Arial" w:cs="Arial" w:eastAsia="Arial" w:hAnsi="Arial"/>
          <w:sz w:val="16"/>
          <w:szCs w:val="16"/>
          <w:color w:val="auto"/>
        </w:rPr>
        <w:t>32.1 —</w:t>
      </w:r>
      <w:r>
        <w:rPr>
          <w:sz w:val="20"/>
          <w:szCs w:val="20"/>
          <w:color w:val="auto"/>
        </w:rPr>
        <w:tab/>
      </w:r>
      <w:r>
        <w:rPr>
          <w:rFonts w:ascii="Arial" w:cs="Arial" w:eastAsia="Arial" w:hAnsi="Arial"/>
          <w:sz w:val="16"/>
          <w:szCs w:val="16"/>
          <w:u w:val="single" w:color="auto"/>
          <w:color w:val="0000FF"/>
        </w:rPr>
        <w:t>Section 1350 Certification of Chief Executive Officer of Boston Properties, Inc. pursuant to Section 906 of the Sarbanes-Oxley Act of 2002. (Furnished herewith.)</w:t>
      </w:r>
    </w:p>
    <w:p>
      <w:pPr>
        <w:spacing w:after="0" w:line="25" w:lineRule="exact"/>
        <w:rPr>
          <w:sz w:val="20"/>
          <w:szCs w:val="20"/>
          <w:color w:val="auto"/>
        </w:rPr>
      </w:pPr>
    </w:p>
    <w:p>
      <w:pPr>
        <w:ind w:left="1520" w:right="80" w:hanging="852"/>
        <w:spacing w:after="0" w:line="223" w:lineRule="auto"/>
        <w:tabs>
          <w:tab w:leader="none" w:pos="1500" w:val="left"/>
        </w:tabs>
        <w:rPr>
          <w:sz w:val="20"/>
          <w:szCs w:val="20"/>
          <w:color w:val="auto"/>
        </w:rPr>
      </w:pPr>
      <w:r>
        <w:rPr>
          <w:rFonts w:ascii="Arial" w:cs="Arial" w:eastAsia="Arial" w:hAnsi="Arial"/>
          <w:sz w:val="16"/>
          <w:szCs w:val="16"/>
          <w:color w:val="auto"/>
        </w:rPr>
        <w:t>32.2 —</w:t>
      </w:r>
      <w:r>
        <w:rPr>
          <w:sz w:val="20"/>
          <w:szCs w:val="20"/>
          <w:color w:val="auto"/>
        </w:rPr>
        <w:tab/>
      </w:r>
      <w:r>
        <w:rPr>
          <w:rFonts w:ascii="Arial" w:cs="Arial" w:eastAsia="Arial" w:hAnsi="Arial"/>
          <w:sz w:val="16"/>
          <w:szCs w:val="16"/>
          <w:u w:val="single" w:color="auto"/>
          <w:color w:val="0000FF"/>
        </w:rPr>
        <w:t>Section 1350 Certification of Chief Financial Officer of Boston Properties, Inc. pursuant to Section 906 of the Sarbanes-Oxley Act of 2002. (Furnished herewith.)</w:t>
      </w:r>
    </w:p>
    <w:p>
      <w:pPr>
        <w:spacing w:after="0" w:line="25" w:lineRule="exact"/>
        <w:rPr>
          <w:sz w:val="20"/>
          <w:szCs w:val="20"/>
          <w:color w:val="auto"/>
        </w:rPr>
      </w:pPr>
    </w:p>
    <w:p>
      <w:pPr>
        <w:ind w:left="1520" w:right="240" w:hanging="852"/>
        <w:spacing w:after="0" w:line="223" w:lineRule="auto"/>
        <w:tabs>
          <w:tab w:leader="none" w:pos="1500" w:val="left"/>
        </w:tabs>
        <w:rPr>
          <w:sz w:val="20"/>
          <w:szCs w:val="20"/>
          <w:color w:val="auto"/>
        </w:rPr>
      </w:pPr>
      <w:r>
        <w:rPr>
          <w:rFonts w:ascii="Arial" w:cs="Arial" w:eastAsia="Arial" w:hAnsi="Arial"/>
          <w:sz w:val="16"/>
          <w:szCs w:val="16"/>
          <w:color w:val="auto"/>
        </w:rPr>
        <w:t>32.3 —</w:t>
      </w:r>
      <w:r>
        <w:rPr>
          <w:sz w:val="20"/>
          <w:szCs w:val="20"/>
          <w:color w:val="auto"/>
        </w:rPr>
        <w:tab/>
      </w:r>
      <w:r>
        <w:rPr>
          <w:rFonts w:ascii="Arial" w:cs="Arial" w:eastAsia="Arial" w:hAnsi="Arial"/>
          <w:sz w:val="16"/>
          <w:szCs w:val="16"/>
          <w:u w:val="single" w:color="auto"/>
          <w:color w:val="0000FF"/>
        </w:rPr>
        <w:t>Section 1350 Certification of Chief Executive Officer of Boston Properties Limited Partnership pursuant to Section 906 of the Sarbanes-Oxley Act of 2002. (Furnished herewith.)</w:t>
      </w:r>
    </w:p>
    <w:p>
      <w:pPr>
        <w:spacing w:after="0" w:line="25" w:lineRule="exact"/>
        <w:rPr>
          <w:sz w:val="20"/>
          <w:szCs w:val="20"/>
          <w:color w:val="auto"/>
        </w:rPr>
      </w:pPr>
    </w:p>
    <w:p>
      <w:pPr>
        <w:ind w:left="1520" w:right="300" w:hanging="852"/>
        <w:spacing w:after="0" w:line="223" w:lineRule="auto"/>
        <w:tabs>
          <w:tab w:leader="none" w:pos="1500" w:val="left"/>
        </w:tabs>
        <w:rPr>
          <w:sz w:val="20"/>
          <w:szCs w:val="20"/>
          <w:color w:val="auto"/>
        </w:rPr>
      </w:pPr>
      <w:r>
        <w:rPr>
          <w:rFonts w:ascii="Arial" w:cs="Arial" w:eastAsia="Arial" w:hAnsi="Arial"/>
          <w:sz w:val="16"/>
          <w:szCs w:val="16"/>
          <w:color w:val="auto"/>
        </w:rPr>
        <w:t>32.4 —</w:t>
      </w:r>
      <w:r>
        <w:rPr>
          <w:sz w:val="20"/>
          <w:szCs w:val="20"/>
          <w:color w:val="auto"/>
        </w:rPr>
        <w:tab/>
      </w:r>
      <w:r>
        <w:rPr>
          <w:rFonts w:ascii="Arial" w:cs="Arial" w:eastAsia="Arial" w:hAnsi="Arial"/>
          <w:sz w:val="16"/>
          <w:szCs w:val="16"/>
          <w:u w:val="single" w:color="auto"/>
          <w:color w:val="0000FF"/>
        </w:rPr>
        <w:t>Section 1350 Certification of Chief Financial Officer of Boston Properties Limited Partnership pursuant to Section 906 of the Sarbanes-Oxley Act of 2002. (Furnished herewith.)</w:t>
      </w:r>
    </w:p>
    <w:p>
      <w:pPr>
        <w:spacing w:after="0" w:line="25"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5"/>
          <w:szCs w:val="15"/>
          <w:color w:val="auto"/>
        </w:rPr>
        <w:t>Inline XBRL Taxonomy Extension Schema Document. (Filed herewith.)</w:t>
      </w:r>
    </w:p>
    <w:p>
      <w:pPr>
        <w:spacing w:after="0" w:line="17"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5"/>
          <w:szCs w:val="15"/>
          <w:color w:val="auto"/>
        </w:rPr>
        <w:t>Inline XBRL Taxonomy Extension Calculation Linkbase Document. (Filed herewith.)</w:t>
      </w:r>
    </w:p>
    <w:p>
      <w:pPr>
        <w:spacing w:after="0" w:line="17"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Inline XBRL Taxonomy Extension Label Linkbase Document. (Filed herewith.)</w:t>
      </w:r>
    </w:p>
    <w:p>
      <w:pPr>
        <w:spacing w:after="0" w:line="17"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5"/>
          <w:szCs w:val="15"/>
          <w:color w:val="auto"/>
        </w:rPr>
        <w:t>Inline XBRL Taxonomy Extension Presentation Linkbase Document. (Filed herewith.)</w:t>
      </w:r>
    </w:p>
    <w:p>
      <w:pPr>
        <w:spacing w:after="0" w:line="17"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Inline XBRL Taxonomy Extension Definition Linkbase Document. (Filed herewith.)</w:t>
      </w:r>
    </w:p>
    <w:p>
      <w:pPr>
        <w:spacing w:after="0" w:line="17" w:lineRule="exact"/>
        <w:rPr>
          <w:sz w:val="20"/>
          <w:szCs w:val="20"/>
          <w:color w:val="auto"/>
        </w:rPr>
      </w:pPr>
    </w:p>
    <w:p>
      <w:pPr>
        <w:ind w:left="1520" w:right="180" w:hanging="802"/>
        <w:spacing w:after="0" w:line="223" w:lineRule="auto"/>
        <w:tabs>
          <w:tab w:leader="none" w:pos="105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 (Filed herewith.)</w:t>
      </w:r>
    </w:p>
    <w:p>
      <w:pPr>
        <w:spacing w:after="0" w:line="274" w:lineRule="exact"/>
        <w:rPr>
          <w:rFonts w:ascii="Arial" w:cs="Arial" w:eastAsia="Arial" w:hAnsi="Arial"/>
          <w:sz w:val="16"/>
          <w:szCs w:val="16"/>
          <w:color w:val="auto"/>
        </w:rPr>
      </w:pPr>
    </w:p>
    <w:p>
      <w:pPr>
        <w:ind w:left="20" w:right="620"/>
        <w:spacing w:after="0" w:line="223" w:lineRule="auto"/>
        <w:rPr>
          <w:rFonts w:ascii="Arial" w:cs="Arial" w:eastAsia="Arial" w:hAnsi="Arial"/>
          <w:sz w:val="16"/>
          <w:szCs w:val="16"/>
          <w:color w:val="auto"/>
        </w:rPr>
      </w:pPr>
      <w:r>
        <w:rPr>
          <w:rFonts w:ascii="Arial" w:cs="Arial" w:eastAsia="Arial" w:hAnsi="Arial"/>
          <w:sz w:val="16"/>
          <w:szCs w:val="16"/>
          <w:color w:val="auto"/>
        </w:rPr>
        <w:t>* Indicates management contract or compensatory plan or arrangement required to be filed or incorporated by reference as an exhibit to this Form 10-K pursuant to Item 15(b) of Form 10-K.</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8" w:lineRule="exact"/>
        <w:rPr>
          <w:sz w:val="20"/>
          <w:szCs w:val="20"/>
          <w:color w:val="auto"/>
        </w:rPr>
      </w:pPr>
    </w:p>
    <w:p>
      <w:pPr>
        <w:ind w:right="180" w:firstLine="391"/>
        <w:spacing w:after="0" w:line="253" w:lineRule="auto"/>
        <w:rPr>
          <w:sz w:val="20"/>
          <w:szCs w:val="20"/>
          <w:color w:val="auto"/>
        </w:rPr>
      </w:pPr>
      <w:r>
        <w:rPr>
          <w:rFonts w:ascii="Arial" w:cs="Arial" w:eastAsia="Arial" w:hAnsi="Arial"/>
          <w:sz w:val="16"/>
          <w:szCs w:val="16"/>
          <w:color w:val="auto"/>
        </w:rPr>
        <w:t>Pursuant to the requirements of the Securities Exchange Act of 1934, Boston Properties, Inc.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BOSTON PROPERTIES, INC.</w:t>
      </w:r>
    </w:p>
    <w:p>
      <w:pPr>
        <w:spacing w:after="0" w:line="254" w:lineRule="exact"/>
        <w:rPr>
          <w:sz w:val="20"/>
          <w:szCs w:val="20"/>
          <w:color w:val="auto"/>
        </w:rPr>
      </w:pPr>
    </w:p>
    <w:p>
      <w:pPr>
        <w:ind w:left="20"/>
        <w:spacing w:after="0"/>
        <w:tabs>
          <w:tab w:leader="none" w:pos="7340" w:val="left"/>
          <w:tab w:leader="none" w:pos="7680" w:val="left"/>
        </w:tabs>
        <w:rPr>
          <w:sz w:val="20"/>
          <w:szCs w:val="20"/>
          <w:color w:val="auto"/>
        </w:rPr>
      </w:pPr>
      <w:r>
        <w:rPr>
          <w:rFonts w:ascii="Arial" w:cs="Arial" w:eastAsia="Arial" w:hAnsi="Arial"/>
          <w:sz w:val="16"/>
          <w:szCs w:val="16"/>
          <w:color w:val="auto"/>
        </w:rPr>
        <w:t>February 27, 2023</w:t>
      </w:r>
      <w:r>
        <w:rPr>
          <w:sz w:val="20"/>
          <w:szCs w:val="20"/>
          <w:color w:val="auto"/>
        </w:rPr>
        <w:tab/>
      </w:r>
      <w:r>
        <w:rPr>
          <w:rFonts w:ascii="Arial" w:cs="Arial" w:eastAsia="Arial" w:hAnsi="Arial"/>
          <w:sz w:val="16"/>
          <w:szCs w:val="16"/>
          <w:color w:val="auto"/>
        </w:rPr>
        <w:t>/s/</w:t>
        <w:tab/>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3810</wp:posOffset>
            </wp:positionV>
            <wp:extent cx="327342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8">
                      <a:extLst>
                        <a:ext uri="{28A0092B-C50C-407E-A947-70E740481C1C}"/>
                      </a:extLst>
                    </a:blip>
                    <a:srcRect/>
                    <a:stretch>
                      <a:fillRect/>
                    </a:stretch>
                  </pic:blipFill>
                  <pic:spPr bwMode="auto">
                    <a:xfrm>
                      <a:off x="0" y="0"/>
                      <a:ext cx="3273425" cy="7620"/>
                    </a:xfrm>
                    <a:prstGeom prst="rect">
                      <a:avLst/>
                    </a:prstGeom>
                    <a:noFill/>
                  </pic:spPr>
                </pic:pic>
              </a:graphicData>
            </a:graphic>
          </wp:anchor>
        </w:drawing>
      </w:r>
    </w:p>
    <w:p>
      <w:pPr>
        <w:jc w:val="center"/>
        <w:ind w:left="5480"/>
        <w:spacing w:after="0"/>
        <w:rPr>
          <w:sz w:val="20"/>
          <w:szCs w:val="20"/>
          <w:color w:val="auto"/>
        </w:rPr>
      </w:pPr>
      <w:r>
        <w:rPr>
          <w:rFonts w:ascii="Arial" w:cs="Arial" w:eastAsia="Arial" w:hAnsi="Arial"/>
          <w:sz w:val="13"/>
          <w:szCs w:val="13"/>
          <w:b w:val="1"/>
          <w:bCs w:val="1"/>
          <w:color w:val="auto"/>
        </w:rPr>
        <w:t>Michael E. LaBelle</w:t>
      </w:r>
    </w:p>
    <w:p>
      <w:pPr>
        <w:spacing w:after="0" w:line="28"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Chief Financial Officer</w:t>
      </w:r>
    </w:p>
    <w:p>
      <w:pPr>
        <w:spacing w:after="0" w:line="28"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(duly authorized officer and principal financial officer)</w:t>
      </w:r>
    </w:p>
    <w:p>
      <w:pPr>
        <w:spacing w:after="0" w:line="383" w:lineRule="exact"/>
        <w:rPr>
          <w:sz w:val="20"/>
          <w:szCs w:val="20"/>
          <w:color w:val="auto"/>
        </w:rPr>
      </w:pPr>
    </w:p>
    <w:p>
      <w:pPr>
        <w:ind w:right="540" w:firstLine="391"/>
        <w:spacing w:after="0" w:line="253" w:lineRule="auto"/>
        <w:rPr>
          <w:sz w:val="20"/>
          <w:szCs w:val="20"/>
          <w:color w:val="auto"/>
        </w:rPr>
      </w:pPr>
      <w:r>
        <w:rPr>
          <w:rFonts w:ascii="Arial" w:cs="Arial" w:eastAsia="Arial" w:hAnsi="Arial"/>
          <w:sz w:val="16"/>
          <w:szCs w:val="16"/>
          <w:color w:val="auto"/>
        </w:rPr>
        <w:t xml:space="preserve">Pursuant to the requirements of the Securities Exchange Act of 1934, this report has been signed below by the following </w:t>
      </w:r>
      <w:r>
        <w:rPr>
          <w:rFonts w:ascii="Arial" w:cs="Arial" w:eastAsia="Arial" w:hAnsi="Arial"/>
          <w:sz w:val="14"/>
          <w:szCs w:val="14"/>
          <w:color w:val="auto"/>
        </w:rPr>
        <w:t>persons</w:t>
      </w:r>
      <w:r>
        <w:rPr>
          <w:rFonts w:ascii="Arial" w:cs="Arial" w:eastAsia="Arial" w:hAnsi="Arial"/>
          <w:sz w:val="16"/>
          <w:szCs w:val="16"/>
          <w:color w:val="auto"/>
        </w:rPr>
        <w:t xml:space="preserve"> on behalf of Boston Properties, Inc., and in the capacities and on the dates indicated.</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16"/>
                <w:szCs w:val="16"/>
                <w:color w:val="auto"/>
              </w:rPr>
            </w:pPr>
          </w:p>
        </w:tc>
        <w:tc>
          <w:tcPr>
            <w:tcW w:w="5100" w:type="dxa"/>
            <w:vAlign w:val="bottom"/>
            <w:tcBorders>
              <w:bottom w:val="single" w:sz="8" w:color="auto"/>
            </w:tcBorders>
            <w:gridSpan w:val="3"/>
          </w:tcPr>
          <w:p>
            <w:pPr>
              <w:ind w:left="1660"/>
              <w:spacing w:after="0"/>
              <w:rPr>
                <w:sz w:val="20"/>
                <w:szCs w:val="20"/>
                <w:color w:val="auto"/>
              </w:rPr>
            </w:pPr>
            <w:r>
              <w:rPr>
                <w:rFonts w:ascii="Arial" w:cs="Arial" w:eastAsia="Arial" w:hAnsi="Arial"/>
                <w:sz w:val="16"/>
                <w:szCs w:val="16"/>
                <w:color w:val="auto"/>
              </w:rPr>
              <w:t>/s/  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tc>
        <w:tc>
          <w:tcPr>
            <w:tcW w:w="300" w:type="dxa"/>
            <w:vAlign w:val="bottom"/>
          </w:tcPr>
          <w:p>
            <w:pPr>
              <w:spacing w:after="0"/>
              <w:rPr>
                <w:sz w:val="16"/>
                <w:szCs w:val="16"/>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60"/>
              <w:spacing w:after="0" w:line="123" w:lineRule="exact"/>
              <w:rPr>
                <w:sz w:val="20"/>
                <w:szCs w:val="20"/>
                <w:color w:val="auto"/>
              </w:rPr>
            </w:pPr>
            <w:r>
              <w:rPr>
                <w:rFonts w:ascii="Arial" w:cs="Arial" w:eastAsia="Arial" w:hAnsi="Arial"/>
                <w:sz w:val="13"/>
                <w:szCs w:val="13"/>
                <w:b w:val="1"/>
                <w:bCs w:val="1"/>
                <w:color w:val="auto"/>
                <w:w w:val="96"/>
              </w:rPr>
              <w:t>Owen D. Thomas</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6"/>
              </w:rPr>
              <w:t>Chairman of the Board, Chief Executive Officer and Principal Executive Officer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/s/</w:t>
            </w: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OUGLAS</w:t>
            </w:r>
            <w:r>
              <w:rPr>
                <w:rFonts w:ascii="Arial" w:cs="Arial" w:eastAsia="Arial" w:hAnsi="Arial"/>
                <w:sz w:val="16"/>
                <w:szCs w:val="16"/>
                <w:color w:val="auto"/>
              </w:rPr>
              <w:t xml:space="preserve"> T. L</w:t>
            </w:r>
            <w:r>
              <w:rPr>
                <w:rFonts w:ascii="Arial" w:cs="Arial" w:eastAsia="Arial" w:hAnsi="Arial"/>
                <w:sz w:val="12"/>
                <w:szCs w:val="12"/>
                <w:color w:val="auto"/>
              </w:rPr>
              <w:t>INDE</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40"/>
              <w:spacing w:after="0" w:line="123" w:lineRule="exact"/>
              <w:rPr>
                <w:sz w:val="20"/>
                <w:szCs w:val="20"/>
                <w:color w:val="auto"/>
              </w:rPr>
            </w:pPr>
            <w:r>
              <w:rPr>
                <w:rFonts w:ascii="Arial" w:cs="Arial" w:eastAsia="Arial" w:hAnsi="Arial"/>
                <w:sz w:val="13"/>
                <w:szCs w:val="13"/>
                <w:b w:val="1"/>
                <w:bCs w:val="1"/>
                <w:color w:val="auto"/>
                <w:w w:val="95"/>
              </w:rPr>
              <w:t>Douglas T. Linde</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7"/>
              </w:rPr>
              <w:t>Director and President</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ind w:left="1800"/>
              <w:spacing w:after="0"/>
              <w:rPr>
                <w:sz w:val="20"/>
                <w:szCs w:val="20"/>
                <w:color w:val="auto"/>
              </w:rPr>
            </w:pPr>
            <w:r>
              <w:rPr>
                <w:rFonts w:ascii="Arial" w:cs="Arial" w:eastAsia="Arial" w:hAnsi="Arial"/>
                <w:sz w:val="16"/>
                <w:szCs w:val="16"/>
                <w:color w:val="auto"/>
                <w:w w:val="82"/>
              </w:rPr>
              <w:t>/s/</w:t>
            </w:r>
          </w:p>
        </w:tc>
        <w:tc>
          <w:tcPr>
            <w:tcW w:w="3140" w:type="dxa"/>
            <w:vAlign w:val="bottom"/>
            <w:tcBorders>
              <w:bottom w:val="single" w:sz="8" w:color="auto"/>
            </w:tcBorders>
            <w:gridSpan w:val="2"/>
          </w:tcPr>
          <w:p>
            <w:pPr>
              <w:jc w:val="center"/>
              <w:ind w:right="1534"/>
              <w:spacing w:after="0"/>
              <w:rPr>
                <w:sz w:val="20"/>
                <w:szCs w:val="20"/>
                <w:color w:val="auto"/>
              </w:rPr>
            </w:pPr>
            <w:r>
              <w:rPr>
                <w:rFonts w:ascii="Arial" w:cs="Arial" w:eastAsia="Arial" w:hAnsi="Arial"/>
                <w:sz w:val="16"/>
                <w:szCs w:val="16"/>
                <w:color w:val="auto"/>
              </w:rPr>
              <w:t>K</w:t>
            </w:r>
            <w:r>
              <w:rPr>
                <w:rFonts w:ascii="Arial" w:cs="Arial" w:eastAsia="Arial" w:hAnsi="Arial"/>
                <w:sz w:val="12"/>
                <w:szCs w:val="12"/>
                <w:color w:val="auto"/>
              </w:rPr>
              <w:t>ELLY</w:t>
            </w:r>
            <w:r>
              <w:rPr>
                <w:rFonts w:ascii="Arial" w:cs="Arial" w:eastAsia="Arial" w:hAnsi="Arial"/>
                <w:sz w:val="16"/>
                <w:szCs w:val="16"/>
                <w:color w:val="auto"/>
              </w:rPr>
              <w:t xml:space="preserve"> A. A</w:t>
            </w:r>
            <w:r>
              <w:rPr>
                <w:rFonts w:ascii="Arial" w:cs="Arial" w:eastAsia="Arial" w:hAnsi="Arial"/>
                <w:sz w:val="12"/>
                <w:szCs w:val="12"/>
                <w:color w:val="auto"/>
              </w:rPr>
              <w:t>YOTTE</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40"/>
              <w:spacing w:after="0" w:line="123" w:lineRule="exact"/>
              <w:rPr>
                <w:sz w:val="20"/>
                <w:szCs w:val="20"/>
                <w:color w:val="auto"/>
              </w:rPr>
            </w:pPr>
            <w:r>
              <w:rPr>
                <w:rFonts w:ascii="Arial" w:cs="Arial" w:eastAsia="Arial" w:hAnsi="Arial"/>
                <w:sz w:val="13"/>
                <w:szCs w:val="13"/>
                <w:b w:val="1"/>
                <w:bCs w:val="1"/>
                <w:color w:val="auto"/>
                <w:w w:val="95"/>
              </w:rPr>
              <w:t>Kelly A. Ayotte</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rPr>
              <w:t>/s/</w:t>
            </w:r>
          </w:p>
        </w:tc>
        <w:tc>
          <w:tcPr>
            <w:tcW w:w="3140" w:type="dxa"/>
            <w:vAlign w:val="bottom"/>
            <w:tcBorders>
              <w:bottom w:val="single" w:sz="8" w:color="auto"/>
            </w:tcBorders>
            <w:gridSpan w:val="2"/>
          </w:tcPr>
          <w:p>
            <w:pPr>
              <w:jc w:val="center"/>
              <w:ind w:right="1554"/>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RUCE</w:t>
            </w:r>
            <w:r>
              <w:rPr>
                <w:rFonts w:ascii="Arial" w:cs="Arial" w:eastAsia="Arial" w:hAnsi="Arial"/>
                <w:sz w:val="16"/>
                <w:szCs w:val="16"/>
                <w:color w:val="auto"/>
              </w:rPr>
              <w:t xml:space="preserve"> W</w:t>
            </w:r>
            <w:r>
              <w:rPr>
                <w:rFonts w:ascii="Arial" w:cs="Arial" w:eastAsia="Arial" w:hAnsi="Arial"/>
                <w:sz w:val="12"/>
                <w:szCs w:val="12"/>
                <w:color w:val="auto"/>
              </w:rPr>
              <w:t>.</w:t>
            </w:r>
            <w:r>
              <w:rPr>
                <w:rFonts w:ascii="Arial" w:cs="Arial" w:eastAsia="Arial" w:hAnsi="Arial"/>
                <w:sz w:val="16"/>
                <w:szCs w:val="16"/>
                <w:color w:val="auto"/>
              </w:rPr>
              <w:t xml:space="preserve"> D</w:t>
            </w:r>
            <w:r>
              <w:rPr>
                <w:rFonts w:ascii="Arial" w:cs="Arial" w:eastAsia="Arial" w:hAnsi="Arial"/>
                <w:sz w:val="12"/>
                <w:szCs w:val="12"/>
                <w:color w:val="auto"/>
              </w:rPr>
              <w:t>UNCAN</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40"/>
              <w:spacing w:after="0" w:line="123" w:lineRule="exact"/>
              <w:rPr>
                <w:sz w:val="20"/>
                <w:szCs w:val="20"/>
                <w:color w:val="auto"/>
              </w:rPr>
            </w:pPr>
            <w:r>
              <w:rPr>
                <w:rFonts w:ascii="Arial" w:cs="Arial" w:eastAsia="Arial" w:hAnsi="Arial"/>
                <w:sz w:val="13"/>
                <w:szCs w:val="13"/>
                <w:b w:val="1"/>
                <w:bCs w:val="1"/>
                <w:color w:val="auto"/>
                <w:w w:val="96"/>
              </w:rPr>
              <w:t>Bruce W. Duncan</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/s/</w:t>
            </w:r>
          </w:p>
        </w:tc>
        <w:tc>
          <w:tcPr>
            <w:tcW w:w="3140" w:type="dxa"/>
            <w:vAlign w:val="bottom"/>
            <w:tcBorders>
              <w:bottom w:val="single" w:sz="8" w:color="auto"/>
            </w:tcBorders>
            <w:gridSpan w:val="2"/>
          </w:tcPr>
          <w:p>
            <w:pPr>
              <w:jc w:val="center"/>
              <w:ind w:right="1554"/>
              <w:spacing w:after="0"/>
              <w:rPr>
                <w:sz w:val="20"/>
                <w:szCs w:val="20"/>
                <w:color w:val="auto"/>
              </w:rPr>
            </w:pPr>
            <w:r>
              <w:rPr>
                <w:rFonts w:ascii="Arial" w:cs="Arial" w:eastAsia="Arial" w:hAnsi="Arial"/>
                <w:sz w:val="16"/>
                <w:szCs w:val="16"/>
                <w:color w:val="auto"/>
              </w:rPr>
              <w:t>C</w:t>
            </w:r>
            <w:r>
              <w:rPr>
                <w:rFonts w:ascii="Arial" w:cs="Arial" w:eastAsia="Arial" w:hAnsi="Arial"/>
                <w:sz w:val="12"/>
                <w:szCs w:val="12"/>
                <w:color w:val="auto"/>
              </w:rPr>
              <w:t>AROL</w:t>
            </w:r>
            <w:r>
              <w:rPr>
                <w:rFonts w:ascii="Arial" w:cs="Arial" w:eastAsia="Arial" w:hAnsi="Arial"/>
                <w:sz w:val="16"/>
                <w:szCs w:val="16"/>
                <w:color w:val="auto"/>
              </w:rPr>
              <w:t xml:space="preserve"> B. E</w:t>
            </w:r>
            <w:r>
              <w:rPr>
                <w:rFonts w:ascii="Arial" w:cs="Arial" w:eastAsia="Arial" w:hAnsi="Arial"/>
                <w:sz w:val="12"/>
                <w:szCs w:val="12"/>
                <w:color w:val="auto"/>
              </w:rPr>
              <w:t>INIGER</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60"/>
              <w:spacing w:after="0" w:line="123" w:lineRule="exact"/>
              <w:rPr>
                <w:sz w:val="20"/>
                <w:szCs w:val="20"/>
                <w:color w:val="auto"/>
              </w:rPr>
            </w:pPr>
            <w:r>
              <w:rPr>
                <w:rFonts w:ascii="Arial" w:cs="Arial" w:eastAsia="Arial" w:hAnsi="Arial"/>
                <w:sz w:val="13"/>
                <w:szCs w:val="13"/>
                <w:b w:val="1"/>
                <w:bCs w:val="1"/>
                <w:color w:val="auto"/>
                <w:w w:val="96"/>
              </w:rPr>
              <w:t>Carol B. Einiger</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ind w:left="1780"/>
              <w:spacing w:after="0"/>
              <w:rPr>
                <w:sz w:val="20"/>
                <w:szCs w:val="20"/>
                <w:color w:val="auto"/>
              </w:rPr>
            </w:pPr>
            <w:r>
              <w:rPr>
                <w:rFonts w:ascii="Arial" w:cs="Arial" w:eastAsia="Arial" w:hAnsi="Arial"/>
                <w:sz w:val="16"/>
                <w:szCs w:val="16"/>
                <w:color w:val="auto"/>
                <w:w w:val="94"/>
              </w:rPr>
              <w:t>/s/</w:t>
            </w:r>
          </w:p>
        </w:tc>
        <w:tc>
          <w:tcPr>
            <w:tcW w:w="3140" w:type="dxa"/>
            <w:vAlign w:val="bottom"/>
            <w:tcBorders>
              <w:bottom w:val="single" w:sz="8" w:color="auto"/>
            </w:tcBorders>
            <w:gridSpan w:val="2"/>
          </w:tcPr>
          <w:p>
            <w:pPr>
              <w:jc w:val="center"/>
              <w:ind w:right="1534"/>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IANE</w:t>
            </w:r>
            <w:r>
              <w:rPr>
                <w:rFonts w:ascii="Arial" w:cs="Arial" w:eastAsia="Arial" w:hAnsi="Arial"/>
                <w:sz w:val="16"/>
                <w:szCs w:val="16"/>
                <w:color w:val="auto"/>
              </w:rPr>
              <w:t xml:space="preserve"> J. H</w:t>
            </w:r>
            <w:r>
              <w:rPr>
                <w:rFonts w:ascii="Arial" w:cs="Arial" w:eastAsia="Arial" w:hAnsi="Arial"/>
                <w:sz w:val="12"/>
                <w:szCs w:val="12"/>
                <w:color w:val="auto"/>
              </w:rPr>
              <w:t>OSKINS</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40" w:type="dxa"/>
            <w:vAlign w:val="bottom"/>
            <w:gridSpan w:val="3"/>
          </w:tcPr>
          <w:p>
            <w:pPr>
              <w:jc w:val="center"/>
              <w:ind w:right="2260"/>
              <w:spacing w:after="0" w:line="123" w:lineRule="exact"/>
              <w:rPr>
                <w:sz w:val="20"/>
                <w:szCs w:val="20"/>
                <w:color w:val="auto"/>
              </w:rPr>
            </w:pPr>
            <w:r>
              <w:rPr>
                <w:rFonts w:ascii="Arial" w:cs="Arial" w:eastAsia="Arial" w:hAnsi="Arial"/>
                <w:sz w:val="13"/>
                <w:szCs w:val="13"/>
                <w:b w:val="1"/>
                <w:bCs w:val="1"/>
                <w:color w:val="auto"/>
                <w:w w:val="97"/>
              </w:rPr>
              <w:t>Diane J. Hoskins</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2180" w:type="dxa"/>
            <w:vAlign w:val="bottom"/>
            <w:tcBorders>
              <w:bottom w:val="single" w:sz="8" w:color="auto"/>
            </w:tcBorders>
            <w:gridSpan w:val="2"/>
          </w:tcPr>
          <w:p>
            <w:pPr>
              <w:ind w:left="1920"/>
              <w:spacing w:after="0"/>
              <w:rPr>
                <w:sz w:val="20"/>
                <w:szCs w:val="20"/>
                <w:color w:val="auto"/>
              </w:rPr>
            </w:pPr>
            <w:r>
              <w:rPr>
                <w:rFonts w:ascii="Arial" w:cs="Arial" w:eastAsia="Arial" w:hAnsi="Arial"/>
                <w:sz w:val="16"/>
                <w:szCs w:val="16"/>
                <w:color w:val="auto"/>
              </w:rPr>
              <w:t>/s/</w:t>
            </w:r>
          </w:p>
        </w:tc>
        <w:tc>
          <w:tcPr>
            <w:tcW w:w="2920" w:type="dxa"/>
            <w:vAlign w:val="bottom"/>
            <w:tcBorders>
              <w:bottom w:val="single" w:sz="8" w:color="auto"/>
            </w:tcBorders>
          </w:tcPr>
          <w:p>
            <w:pPr>
              <w:jc w:val="center"/>
              <w:ind w:right="1754"/>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ARY</w:t>
            </w:r>
            <w:r>
              <w:rPr>
                <w:rFonts w:ascii="Arial" w:cs="Arial" w:eastAsia="Arial" w:hAnsi="Arial"/>
                <w:sz w:val="16"/>
                <w:szCs w:val="16"/>
                <w:color w:val="auto"/>
              </w:rPr>
              <w:t xml:space="preserve"> E. K</w:t>
            </w:r>
            <w:r>
              <w:rPr>
                <w:rFonts w:ascii="Arial" w:cs="Arial" w:eastAsia="Arial" w:hAnsi="Arial"/>
                <w:sz w:val="12"/>
                <w:szCs w:val="12"/>
                <w:color w:val="auto"/>
              </w:rPr>
              <w:t>IPP</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2"/>
          </w:tcPr>
          <w:p>
            <w:pPr>
              <w:jc w:val="center"/>
              <w:ind w:right="2460"/>
              <w:spacing w:after="0" w:line="123" w:lineRule="exact"/>
              <w:rPr>
                <w:sz w:val="20"/>
                <w:szCs w:val="20"/>
                <w:color w:val="auto"/>
              </w:rPr>
            </w:pPr>
            <w:r>
              <w:rPr>
                <w:rFonts w:ascii="Arial" w:cs="Arial" w:eastAsia="Arial" w:hAnsi="Arial"/>
                <w:sz w:val="13"/>
                <w:szCs w:val="13"/>
                <w:b w:val="1"/>
                <w:bCs w:val="1"/>
                <w:color w:val="auto"/>
                <w:w w:val="96"/>
              </w:rPr>
              <w:t>Mary E. Kipp</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4"/>
              </w:rPr>
              <w:t>/s/</w:t>
            </w:r>
          </w:p>
        </w:tc>
        <w:tc>
          <w:tcPr>
            <w:tcW w:w="2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J</w:t>
            </w:r>
            <w:r>
              <w:rPr>
                <w:rFonts w:ascii="Arial" w:cs="Arial" w:eastAsia="Arial" w:hAnsi="Arial"/>
                <w:sz w:val="12"/>
                <w:szCs w:val="12"/>
                <w:color w:val="auto"/>
              </w:rPr>
              <w:t>OEL</w:t>
            </w:r>
            <w:r>
              <w:rPr>
                <w:rFonts w:ascii="Arial" w:cs="Arial" w:eastAsia="Arial" w:hAnsi="Arial"/>
                <w:sz w:val="16"/>
                <w:szCs w:val="16"/>
                <w:color w:val="auto"/>
              </w:rPr>
              <w:t xml:space="preserve"> I. K</w:t>
            </w:r>
            <w:r>
              <w:rPr>
                <w:rFonts w:ascii="Arial" w:cs="Arial" w:eastAsia="Arial" w:hAnsi="Arial"/>
                <w:sz w:val="12"/>
                <w:szCs w:val="12"/>
                <w:color w:val="auto"/>
              </w:rPr>
              <w:t>LEIN</w:t>
            </w:r>
          </w:p>
        </w:tc>
        <w:tc>
          <w:tcPr>
            <w:tcW w:w="300" w:type="dxa"/>
            <w:vAlign w:val="bottom"/>
          </w:tcPr>
          <w:p>
            <w:pPr>
              <w:spacing w:after="0"/>
              <w:rPr>
                <w:sz w:val="24"/>
                <w:szCs w:val="24"/>
                <w:color w:val="auto"/>
              </w:rPr>
            </w:pPr>
          </w:p>
        </w:tc>
      </w:tr>
      <w:tr>
        <w:trPr>
          <w:trHeight w:val="123"/>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2"/>
          </w:tcPr>
          <w:p>
            <w:pPr>
              <w:jc w:val="center"/>
              <w:ind w:right="2480"/>
              <w:spacing w:after="0" w:line="123" w:lineRule="exact"/>
              <w:rPr>
                <w:sz w:val="20"/>
                <w:szCs w:val="20"/>
                <w:color w:val="auto"/>
              </w:rPr>
            </w:pPr>
            <w:r>
              <w:rPr>
                <w:rFonts w:ascii="Arial" w:cs="Arial" w:eastAsia="Arial" w:hAnsi="Arial"/>
                <w:sz w:val="13"/>
                <w:szCs w:val="13"/>
                <w:b w:val="1"/>
                <w:bCs w:val="1"/>
                <w:color w:val="auto"/>
                <w:w w:val="96"/>
              </w:rPr>
              <w:t>Joel I. Klein</w:t>
            </w:r>
          </w:p>
        </w:tc>
      </w:t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460"/>
              <w:spacing w:after="0"/>
              <w:rPr>
                <w:sz w:val="20"/>
                <w:szCs w:val="20"/>
                <w:color w:val="auto"/>
              </w:rPr>
            </w:pPr>
            <w:r>
              <w:rPr>
                <w:rFonts w:ascii="Arial" w:cs="Arial" w:eastAsia="Arial" w:hAnsi="Arial"/>
                <w:sz w:val="13"/>
                <w:szCs w:val="13"/>
                <w:b w:val="1"/>
                <w:bCs w:val="1"/>
                <w:color w:val="auto"/>
                <w:w w:val="96"/>
              </w:rPr>
              <w:t>Director</w:t>
            </w:r>
          </w:p>
        </w:tc>
      </w:tr>
      <w:tr>
        <w:trPr>
          <w:trHeight w:val="743"/>
        </w:trPr>
        <w:tc>
          <w:tcPr>
            <w:tcW w:w="534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197</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0"/>
        </w:trPr>
        <w:tc>
          <w:tcPr>
            <w:tcW w:w="5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960" w:type="dxa"/>
        <w:tblCellMar>
          <w:top w:w="0" w:type="dxa"/>
          <w:left w:w="0" w:type="dxa"/>
          <w:bottom w:w="0" w:type="dxa"/>
          <w:right w:w="0" w:type="dxa"/>
        </w:tblCellMar>
      </w:tblPr>
      <w:tr>
        <w:trPr>
          <w:trHeight w:val="190"/>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76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w w:val="94"/>
              </w:rPr>
              <w:t>/s/</w:t>
            </w:r>
          </w:p>
        </w:tc>
        <w:tc>
          <w:tcPr>
            <w:tcW w:w="3340" w:type="dxa"/>
            <w:vAlign w:val="bottom"/>
            <w:tcBorders>
              <w:bottom w:val="single" w:sz="8" w:color="auto"/>
            </w:tcBorders>
          </w:tcPr>
          <w:p>
            <w:pPr>
              <w:jc w:val="center"/>
              <w:ind w:right="1612"/>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ATTHEW</w:t>
            </w:r>
            <w:r>
              <w:rPr>
                <w:rFonts w:ascii="Arial" w:cs="Arial" w:eastAsia="Arial" w:hAnsi="Arial"/>
                <w:sz w:val="16"/>
                <w:szCs w:val="16"/>
                <w:color w:val="auto"/>
              </w:rPr>
              <w:t xml:space="preserve"> J. L</w:t>
            </w:r>
            <w:r>
              <w:rPr>
                <w:rFonts w:ascii="Arial" w:cs="Arial" w:eastAsia="Arial" w:hAnsi="Arial"/>
                <w:sz w:val="12"/>
                <w:szCs w:val="12"/>
                <w:color w:val="auto"/>
              </w:rPr>
              <w:t>USTIG</w:t>
            </w:r>
          </w:p>
        </w:tc>
      </w:tr>
      <w:tr>
        <w:trPr>
          <w:trHeight w:val="123"/>
        </w:trPr>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340" w:type="dxa"/>
            <w:vAlign w:val="bottom"/>
          </w:tcPr>
          <w:p>
            <w:pPr>
              <w:jc w:val="center"/>
              <w:ind w:right="1692"/>
              <w:spacing w:after="0" w:line="123" w:lineRule="exact"/>
              <w:rPr>
                <w:sz w:val="20"/>
                <w:szCs w:val="20"/>
                <w:color w:val="auto"/>
              </w:rPr>
            </w:pPr>
            <w:r>
              <w:rPr>
                <w:rFonts w:ascii="Arial" w:cs="Arial" w:eastAsia="Arial" w:hAnsi="Arial"/>
                <w:sz w:val="13"/>
                <w:szCs w:val="13"/>
                <w:b w:val="1"/>
                <w:bCs w:val="1"/>
                <w:color w:val="auto"/>
                <w:w w:val="97"/>
              </w:rPr>
              <w:t>Matthew J. Lustig</w:t>
            </w:r>
          </w:p>
        </w:tc>
      </w:tr>
      <w:tr>
        <w:trPr>
          <w:trHeight w:val="168"/>
        </w:trPr>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jc w:val="center"/>
              <w:ind w:right="1672"/>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76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612"/>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AVID</w:t>
            </w:r>
            <w:r>
              <w:rPr>
                <w:rFonts w:ascii="Arial" w:cs="Arial" w:eastAsia="Arial" w:hAnsi="Arial"/>
                <w:sz w:val="16"/>
                <w:szCs w:val="16"/>
                <w:color w:val="auto"/>
              </w:rPr>
              <w:t xml:space="preserve"> A. T</w:t>
            </w:r>
            <w:r>
              <w:rPr>
                <w:rFonts w:ascii="Arial" w:cs="Arial" w:eastAsia="Arial" w:hAnsi="Arial"/>
                <w:sz w:val="12"/>
                <w:szCs w:val="12"/>
                <w:color w:val="auto"/>
              </w:rPr>
              <w:t>WARDOCK</w:t>
            </w:r>
          </w:p>
        </w:tc>
      </w:tr>
      <w:tr>
        <w:trPr>
          <w:trHeight w:val="123"/>
        </w:trPr>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340" w:type="dxa"/>
            <w:vAlign w:val="bottom"/>
          </w:tcPr>
          <w:p>
            <w:pPr>
              <w:jc w:val="center"/>
              <w:ind w:right="1672"/>
              <w:spacing w:after="0" w:line="123" w:lineRule="exact"/>
              <w:rPr>
                <w:sz w:val="20"/>
                <w:szCs w:val="20"/>
                <w:color w:val="auto"/>
              </w:rPr>
            </w:pPr>
            <w:r>
              <w:rPr>
                <w:rFonts w:ascii="Arial" w:cs="Arial" w:eastAsia="Arial" w:hAnsi="Arial"/>
                <w:sz w:val="13"/>
                <w:szCs w:val="13"/>
                <w:b w:val="1"/>
                <w:bCs w:val="1"/>
                <w:color w:val="auto"/>
                <w:w w:val="96"/>
              </w:rPr>
              <w:t>David A. Twardock</w:t>
            </w:r>
          </w:p>
        </w:tc>
      </w:tr>
      <w:tr>
        <w:trPr>
          <w:trHeight w:val="168"/>
        </w:trPr>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jc w:val="center"/>
              <w:ind w:right="1672"/>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76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612"/>
              <w:spacing w:after="0"/>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ILLIAM</w:t>
            </w:r>
            <w:r>
              <w:rPr>
                <w:rFonts w:ascii="Arial" w:cs="Arial" w:eastAsia="Arial" w:hAnsi="Arial"/>
                <w:sz w:val="16"/>
                <w:szCs w:val="16"/>
                <w:color w:val="auto"/>
              </w:rPr>
              <w:t xml:space="preserve"> H. W</w:t>
            </w:r>
            <w:r>
              <w:rPr>
                <w:rFonts w:ascii="Arial" w:cs="Arial" w:eastAsia="Arial" w:hAnsi="Arial"/>
                <w:sz w:val="12"/>
                <w:szCs w:val="12"/>
                <w:color w:val="auto"/>
              </w:rPr>
              <w:t>ALTON</w:t>
            </w:r>
            <w:r>
              <w:rPr>
                <w:rFonts w:ascii="Arial" w:cs="Arial" w:eastAsia="Arial" w:hAnsi="Arial"/>
                <w:sz w:val="16"/>
                <w:szCs w:val="16"/>
                <w:color w:val="auto"/>
              </w:rPr>
              <w:t>, III</w:t>
            </w:r>
          </w:p>
        </w:tc>
      </w:tr>
      <w:tr>
        <w:trPr>
          <w:trHeight w:val="123"/>
        </w:trPr>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340" w:type="dxa"/>
            <w:vAlign w:val="bottom"/>
          </w:tcPr>
          <w:p>
            <w:pPr>
              <w:jc w:val="center"/>
              <w:ind w:right="1692"/>
              <w:spacing w:after="0" w:line="123" w:lineRule="exact"/>
              <w:rPr>
                <w:sz w:val="20"/>
                <w:szCs w:val="20"/>
                <w:color w:val="auto"/>
              </w:rPr>
            </w:pPr>
            <w:r>
              <w:rPr>
                <w:rFonts w:ascii="Arial" w:cs="Arial" w:eastAsia="Arial" w:hAnsi="Arial"/>
                <w:sz w:val="13"/>
                <w:szCs w:val="13"/>
                <w:b w:val="1"/>
                <w:bCs w:val="1"/>
                <w:color w:val="auto"/>
                <w:w w:val="95"/>
              </w:rPr>
              <w:t>William H. Walton, III</w:t>
            </w:r>
          </w:p>
        </w:tc>
      </w:tr>
      <w:tr>
        <w:trPr>
          <w:trHeight w:val="168"/>
        </w:trPr>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jc w:val="center"/>
              <w:ind w:right="1672"/>
              <w:spacing w:after="0"/>
              <w:rPr>
                <w:sz w:val="20"/>
                <w:szCs w:val="20"/>
                <w:color w:val="auto"/>
              </w:rPr>
            </w:pPr>
            <w:r>
              <w:rPr>
                <w:rFonts w:ascii="Arial" w:cs="Arial" w:eastAsia="Arial" w:hAnsi="Arial"/>
                <w:sz w:val="13"/>
                <w:szCs w:val="13"/>
                <w:b w:val="1"/>
                <w:bCs w:val="1"/>
                <w:color w:val="auto"/>
                <w:w w:val="96"/>
              </w:rPr>
              <w:t>Director</w:t>
            </w:r>
          </w:p>
        </w:tc>
      </w:tr>
      <w:tr>
        <w:trPr>
          <w:trHeight w:val="51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76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612"/>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r>
      <w:tr>
        <w:trPr>
          <w:trHeight w:val="123"/>
        </w:trPr>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340" w:type="dxa"/>
            <w:vAlign w:val="bottom"/>
          </w:tcPr>
          <w:p>
            <w:pPr>
              <w:jc w:val="center"/>
              <w:ind w:right="1692"/>
              <w:spacing w:after="0" w:line="123" w:lineRule="exact"/>
              <w:rPr>
                <w:sz w:val="20"/>
                <w:szCs w:val="20"/>
                <w:color w:val="auto"/>
              </w:rPr>
            </w:pPr>
            <w:r>
              <w:rPr>
                <w:rFonts w:ascii="Arial" w:cs="Arial" w:eastAsia="Arial" w:hAnsi="Arial"/>
                <w:sz w:val="13"/>
                <w:szCs w:val="13"/>
                <w:b w:val="1"/>
                <w:bCs w:val="1"/>
                <w:color w:val="auto"/>
                <w:w w:val="96"/>
              </w:rPr>
              <w:t>Michael E. LaBelle</w:t>
            </w:r>
          </w:p>
        </w:tc>
      </w:tr>
      <w:tr>
        <w:trPr>
          <w:trHeight w:val="119"/>
        </w:trPr>
        <w:tc>
          <w:tcPr>
            <w:tcW w:w="900" w:type="dxa"/>
            <w:vAlign w:val="bottom"/>
          </w:tcPr>
          <w:p>
            <w:pPr>
              <w:spacing w:after="0"/>
              <w:rPr>
                <w:sz w:val="10"/>
                <w:szCs w:val="10"/>
                <w:color w:val="auto"/>
              </w:rPr>
            </w:pPr>
          </w:p>
        </w:tc>
        <w:tc>
          <w:tcPr>
            <w:tcW w:w="5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Executive Vice President, Chief Financial Officer and</w:t>
            </w:r>
          </w:p>
        </w:tc>
      </w:tr>
      <w:tr>
        <w:trPr>
          <w:trHeight w:val="168"/>
        </w:trPr>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jc w:val="center"/>
              <w:ind w:right="1672"/>
              <w:spacing w:after="0"/>
              <w:rPr>
                <w:sz w:val="20"/>
                <w:szCs w:val="20"/>
                <w:color w:val="auto"/>
              </w:rPr>
            </w:pPr>
            <w:r>
              <w:rPr>
                <w:rFonts w:ascii="Arial" w:cs="Arial" w:eastAsia="Arial" w:hAnsi="Arial"/>
                <w:sz w:val="13"/>
                <w:szCs w:val="13"/>
                <w:b w:val="1"/>
                <w:bCs w:val="1"/>
                <w:color w:val="auto"/>
                <w:w w:val="97"/>
              </w:rPr>
              <w:t>Principal Financial Officer</w:t>
            </w:r>
          </w:p>
        </w:tc>
      </w:tr>
      <w:tr>
        <w:trPr>
          <w:trHeight w:val="529"/>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5100" w:type="dxa"/>
            <w:vAlign w:val="bottom"/>
            <w:gridSpan w:val="2"/>
          </w:tcPr>
          <w:p>
            <w:pPr>
              <w:ind w:left="170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R</w:t>
            </w:r>
            <w:r>
              <w:rPr>
                <w:rFonts w:ascii="Arial" w:cs="Arial" w:eastAsia="Arial" w:hAnsi="Arial"/>
                <w:sz w:val="12"/>
                <w:szCs w:val="12"/>
                <w:color w:val="auto"/>
              </w:rPr>
              <w:t>.</w:t>
            </w:r>
            <w:r>
              <w:rPr>
                <w:rFonts w:ascii="Arial" w:cs="Arial" w:eastAsia="Arial" w:hAnsi="Arial"/>
                <w:sz w:val="16"/>
                <w:szCs w:val="16"/>
                <w:color w:val="auto"/>
              </w:rPr>
              <w:t xml:space="preserve"> W</w:t>
            </w:r>
            <w:r>
              <w:rPr>
                <w:rFonts w:ascii="Arial" w:cs="Arial" w:eastAsia="Arial" w:hAnsi="Arial"/>
                <w:sz w:val="12"/>
                <w:szCs w:val="12"/>
                <w:color w:val="auto"/>
              </w:rPr>
              <w:t>ALSH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635</wp:posOffset>
            </wp:positionV>
            <wp:extent cx="324358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1">
                      <a:extLst>
                        <a:ext uri="{28A0092B-C50C-407E-A947-70E740481C1C}"/>
                      </a:extLst>
                    </a:blip>
                    <a:srcRect/>
                    <a:stretch>
                      <a:fillRect/>
                    </a:stretch>
                  </pic:blipFill>
                  <pic:spPr bwMode="auto">
                    <a:xfrm>
                      <a:off x="0" y="0"/>
                      <a:ext cx="3243580" cy="7620"/>
                    </a:xfrm>
                    <a:prstGeom prst="rect">
                      <a:avLst/>
                    </a:prstGeom>
                    <a:noFill/>
                  </pic:spPr>
                </pic:pic>
              </a:graphicData>
            </a:graphic>
          </wp:anchor>
        </w:drawing>
      </w:r>
    </w:p>
    <w:p>
      <w:pPr>
        <w:jc w:val="center"/>
        <w:ind w:left="5560"/>
        <w:spacing w:after="0" w:line="237" w:lineRule="auto"/>
        <w:rPr>
          <w:sz w:val="20"/>
          <w:szCs w:val="20"/>
          <w:color w:val="auto"/>
        </w:rPr>
      </w:pPr>
      <w:r>
        <w:rPr>
          <w:rFonts w:ascii="Arial" w:cs="Arial" w:eastAsia="Arial" w:hAnsi="Arial"/>
          <w:sz w:val="13"/>
          <w:szCs w:val="13"/>
          <w:b w:val="1"/>
          <w:bCs w:val="1"/>
          <w:color w:val="auto"/>
        </w:rPr>
        <w:t>Michael R. Walsh</w:t>
      </w:r>
    </w:p>
    <w:p>
      <w:pPr>
        <w:jc w:val="center"/>
        <w:ind w:left="5540"/>
        <w:spacing w:after="0" w:line="209" w:lineRule="auto"/>
        <w:rPr>
          <w:sz w:val="20"/>
          <w:szCs w:val="20"/>
          <w:color w:val="auto"/>
        </w:rPr>
      </w:pPr>
      <w:r>
        <w:rPr>
          <w:rFonts w:ascii="Arial" w:cs="Arial" w:eastAsia="Arial" w:hAnsi="Arial"/>
          <w:sz w:val="13"/>
          <w:szCs w:val="13"/>
          <w:b w:val="1"/>
          <w:bCs w:val="1"/>
          <w:color w:val="auto"/>
        </w:rPr>
        <w:t>Senior Vice President, Chief Accounting Officer and</w:t>
      </w:r>
    </w:p>
    <w:p>
      <w:pPr>
        <w:ind w:left="7560"/>
        <w:spacing w:after="0"/>
        <w:rPr>
          <w:sz w:val="20"/>
          <w:szCs w:val="20"/>
          <w:color w:val="auto"/>
        </w:rPr>
      </w:pPr>
      <w:r>
        <w:rPr>
          <w:rFonts w:ascii="Arial" w:cs="Arial" w:eastAsia="Arial" w:hAnsi="Arial"/>
          <w:sz w:val="13"/>
          <w:szCs w:val="13"/>
          <w:b w:val="1"/>
          <w:bCs w:val="1"/>
          <w:color w:val="auto"/>
        </w:rPr>
        <w:t>Principal Accounting Officer</w:t>
      </w:r>
    </w:p>
    <w:p>
      <w:pPr>
        <w:spacing w:after="0" w:line="200" w:lineRule="exact"/>
        <w:rPr>
          <w:sz w:val="20"/>
          <w:szCs w:val="20"/>
          <w:color w:val="auto"/>
        </w:rPr>
      </w:pP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960"/>
          </w:cols>
          <w:pgMar w:left="320" w:top="281" w:right="61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8"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Pursuant to the requirements of the Securities Exchange Act of 1934, Boston Properties Limited Partnership has duly caused this report to be signed on its behalf by the undersigned thereunto duly authorized.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5920" w:type="dxa"/>
            <w:vAlign w:val="bottom"/>
          </w:tcPr>
          <w:p>
            <w:pPr>
              <w:jc w:val="center"/>
              <w:spacing w:after="0"/>
              <w:rPr>
                <w:sz w:val="20"/>
                <w:szCs w:val="20"/>
                <w:color w:val="auto"/>
              </w:rPr>
            </w:pPr>
            <w:r>
              <w:rPr>
                <w:rFonts w:ascii="Arial" w:cs="Arial" w:eastAsia="Arial" w:hAnsi="Arial"/>
                <w:sz w:val="16"/>
                <w:szCs w:val="16"/>
                <w:color w:val="auto"/>
                <w:w w:val="98"/>
              </w:rPr>
              <w:t>BOSTON PROPERTIES LIMITED PARTNERSHIP</w:t>
            </w:r>
          </w:p>
        </w:tc>
      </w:tr>
      <w:tr>
        <w:trPr>
          <w:trHeight w:val="201"/>
        </w:trPr>
        <w:tc>
          <w:tcPr>
            <w:tcW w:w="5280" w:type="dxa"/>
            <w:vAlign w:val="bottom"/>
          </w:tcPr>
          <w:p>
            <w:pPr>
              <w:spacing w:after="0"/>
              <w:rPr>
                <w:sz w:val="17"/>
                <w:szCs w:val="17"/>
                <w:color w:val="auto"/>
              </w:rPr>
            </w:pPr>
          </w:p>
        </w:tc>
        <w:tc>
          <w:tcPr>
            <w:tcW w:w="5920" w:type="dxa"/>
            <w:vAlign w:val="bottom"/>
          </w:tcPr>
          <w:p>
            <w:pPr>
              <w:jc w:val="center"/>
              <w:spacing w:after="0"/>
              <w:rPr>
                <w:sz w:val="20"/>
                <w:szCs w:val="20"/>
                <w:color w:val="auto"/>
              </w:rPr>
            </w:pPr>
            <w:r>
              <w:rPr>
                <w:rFonts w:ascii="Arial" w:cs="Arial" w:eastAsia="Arial" w:hAnsi="Arial"/>
                <w:sz w:val="16"/>
                <w:szCs w:val="16"/>
                <w:color w:val="auto"/>
                <w:w w:val="98"/>
              </w:rPr>
              <w:t>By: Boston Properties, Inc., its General Partner</w:t>
            </w:r>
          </w:p>
        </w:tc>
      </w:tr>
      <w:tr>
        <w:trPr>
          <w:trHeight w:val="202"/>
        </w:trPr>
        <w:tc>
          <w:tcPr>
            <w:tcW w:w="5280" w:type="dxa"/>
            <w:vAlign w:val="bottom"/>
          </w:tcPr>
          <w:p>
            <w:pPr>
              <w:spacing w:after="0"/>
              <w:rPr>
                <w:sz w:val="20"/>
                <w:szCs w:val="20"/>
                <w:color w:val="auto"/>
              </w:rPr>
            </w:pPr>
            <w:r>
              <w:rPr>
                <w:rFonts w:ascii="Arial" w:cs="Arial" w:eastAsia="Arial" w:hAnsi="Arial"/>
                <w:sz w:val="16"/>
                <w:szCs w:val="16"/>
                <w:color w:val="auto"/>
              </w:rPr>
              <w:t>February 27, 2023</w:t>
            </w:r>
          </w:p>
        </w:tc>
        <w:tc>
          <w:tcPr>
            <w:tcW w:w="5920" w:type="dxa"/>
            <w:vAlign w:val="bottom"/>
            <w:tcBorders>
              <w:bottom w:val="single" w:sz="8" w:color="auto"/>
            </w:tcBorders>
          </w:tcPr>
          <w:p>
            <w:pPr>
              <w:ind w:left="194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r>
      <w:tr>
        <w:trPr>
          <w:trHeight w:val="161"/>
        </w:trPr>
        <w:tc>
          <w:tcPr>
            <w:tcW w:w="5280" w:type="dxa"/>
            <w:vAlign w:val="bottom"/>
          </w:tcPr>
          <w:p>
            <w:pPr>
              <w:spacing w:after="0"/>
              <w:rPr>
                <w:sz w:val="13"/>
                <w:szCs w:val="13"/>
                <w:color w:val="auto"/>
              </w:rPr>
            </w:pPr>
          </w:p>
        </w:tc>
        <w:tc>
          <w:tcPr>
            <w:tcW w:w="5920" w:type="dxa"/>
            <w:vAlign w:val="bottom"/>
          </w:tcPr>
          <w:p>
            <w:pPr>
              <w:jc w:val="center"/>
              <w:spacing w:after="0"/>
              <w:rPr>
                <w:sz w:val="20"/>
                <w:szCs w:val="20"/>
                <w:color w:val="auto"/>
              </w:rPr>
            </w:pPr>
            <w:r>
              <w:rPr>
                <w:rFonts w:ascii="Arial" w:cs="Arial" w:eastAsia="Arial" w:hAnsi="Arial"/>
                <w:sz w:val="13"/>
                <w:szCs w:val="13"/>
                <w:b w:val="1"/>
                <w:bCs w:val="1"/>
                <w:color w:val="auto"/>
                <w:w w:val="96"/>
              </w:rPr>
              <w:t>Michael E. LaBelle</w:t>
            </w:r>
          </w:p>
        </w:tc>
      </w:tr>
      <w:tr>
        <w:trPr>
          <w:trHeight w:val="140"/>
        </w:trPr>
        <w:tc>
          <w:tcPr>
            <w:tcW w:w="5280" w:type="dxa"/>
            <w:vAlign w:val="bottom"/>
          </w:tcPr>
          <w:p>
            <w:pPr>
              <w:spacing w:after="0"/>
              <w:rPr>
                <w:sz w:val="12"/>
                <w:szCs w:val="12"/>
                <w:color w:val="auto"/>
              </w:rPr>
            </w:pPr>
          </w:p>
        </w:tc>
        <w:tc>
          <w:tcPr>
            <w:tcW w:w="5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7"/>
              </w:rPr>
              <w:t>Chief Financial Officer</w:t>
            </w:r>
          </w:p>
        </w:tc>
      </w:tr>
      <w:tr>
        <w:trPr>
          <w:trHeight w:val="168"/>
        </w:trPr>
        <w:tc>
          <w:tcPr>
            <w:tcW w:w="5280" w:type="dxa"/>
            <w:vAlign w:val="bottom"/>
          </w:tcPr>
          <w:p>
            <w:pPr>
              <w:spacing w:after="0"/>
              <w:rPr>
                <w:sz w:val="14"/>
                <w:szCs w:val="14"/>
                <w:color w:val="auto"/>
              </w:rPr>
            </w:pPr>
          </w:p>
        </w:tc>
        <w:tc>
          <w:tcPr>
            <w:tcW w:w="5920" w:type="dxa"/>
            <w:vAlign w:val="bottom"/>
          </w:tcPr>
          <w:p>
            <w:pPr>
              <w:jc w:val="center"/>
              <w:spacing w:after="0"/>
              <w:rPr>
                <w:sz w:val="20"/>
                <w:szCs w:val="20"/>
                <w:color w:val="auto"/>
              </w:rPr>
            </w:pPr>
            <w:r>
              <w:rPr>
                <w:rFonts w:ascii="Arial" w:cs="Arial" w:eastAsia="Arial" w:hAnsi="Arial"/>
                <w:sz w:val="13"/>
                <w:szCs w:val="13"/>
                <w:b w:val="1"/>
                <w:bCs w:val="1"/>
                <w:color w:val="auto"/>
                <w:w w:val="97"/>
              </w:rPr>
              <w:t>(duly authorized officer and principal financial officer)</w:t>
            </w:r>
          </w:p>
        </w:tc>
      </w:tr>
    </w:tbl>
    <w:p>
      <w:pPr>
        <w:spacing w:after="0" w:line="139" w:lineRule="exact"/>
        <w:rPr>
          <w:sz w:val="20"/>
          <w:szCs w:val="20"/>
          <w:color w:val="auto"/>
        </w:rPr>
      </w:pPr>
    </w:p>
    <w:p>
      <w:pPr>
        <w:ind w:right="440" w:firstLine="391"/>
        <w:spacing w:after="0" w:line="25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Boston Properties, Inc., as general partner of Boston Properties Limited Partnership, and in the capacities and on the dates indicated.</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2023</w:t>
      </w:r>
    </w:p>
    <w:p>
      <w:pPr>
        <w:spacing w:after="0" w:line="254" w:lineRule="exact"/>
        <w:rPr>
          <w:sz w:val="20"/>
          <w:szCs w:val="20"/>
          <w:color w:val="auto"/>
        </w:rPr>
      </w:pPr>
    </w:p>
    <w:tbl>
      <w:tblPr>
        <w:tblLayout w:type="fixed"/>
        <w:tblInd w:w="470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5300" w:type="dxa"/>
            <w:vAlign w:val="bottom"/>
            <w:tcBorders>
              <w:bottom w:val="single" w:sz="8" w:color="auto"/>
            </w:tcBorders>
            <w:gridSpan w:val="3"/>
          </w:tcPr>
          <w:p>
            <w:pPr>
              <w:ind w:left="1760"/>
              <w:spacing w:after="0"/>
              <w:rPr>
                <w:sz w:val="20"/>
                <w:szCs w:val="20"/>
                <w:color w:val="auto"/>
              </w:rPr>
            </w:pPr>
            <w:r>
              <w:rPr>
                <w:rFonts w:ascii="Arial" w:cs="Arial" w:eastAsia="Arial" w:hAnsi="Arial"/>
                <w:sz w:val="16"/>
                <w:szCs w:val="16"/>
                <w:color w:val="auto"/>
              </w:rPr>
              <w:t>/s/  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94"/>
              <w:spacing w:after="0" w:line="123" w:lineRule="exact"/>
              <w:rPr>
                <w:sz w:val="20"/>
                <w:szCs w:val="20"/>
                <w:color w:val="auto"/>
              </w:rPr>
            </w:pPr>
            <w:r>
              <w:rPr>
                <w:rFonts w:ascii="Arial" w:cs="Arial" w:eastAsia="Arial" w:hAnsi="Arial"/>
                <w:sz w:val="13"/>
                <w:szCs w:val="13"/>
                <w:b w:val="1"/>
                <w:bCs w:val="1"/>
                <w:color w:val="auto"/>
                <w:w w:val="96"/>
              </w:rPr>
              <w:t>Owen D. Thomas</w:t>
            </w:r>
          </w:p>
        </w:tc>
      </w:tr>
      <w:tr>
        <w:trPr>
          <w:trHeight w:val="168"/>
        </w:trPr>
        <w:tc>
          <w:tcPr>
            <w:tcW w:w="1200" w:type="dxa"/>
            <w:vAlign w:val="bottom"/>
          </w:tcPr>
          <w:p>
            <w:pPr>
              <w:spacing w:after="0"/>
              <w:rPr>
                <w:sz w:val="14"/>
                <w:szCs w:val="14"/>
                <w:color w:val="auto"/>
              </w:rPr>
            </w:pPr>
          </w:p>
        </w:tc>
        <w:tc>
          <w:tcPr>
            <w:tcW w:w="53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Chairman of the Board, Chief Executive Officer and Principal Executive Officer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/s/</w:t>
            </w: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OUGLAS</w:t>
            </w:r>
            <w:r>
              <w:rPr>
                <w:rFonts w:ascii="Arial" w:cs="Arial" w:eastAsia="Arial" w:hAnsi="Arial"/>
                <w:sz w:val="16"/>
                <w:szCs w:val="16"/>
                <w:color w:val="auto"/>
              </w:rPr>
              <w:t xml:space="preserve"> T. L</w:t>
            </w:r>
            <w:r>
              <w:rPr>
                <w:rFonts w:ascii="Arial" w:cs="Arial" w:eastAsia="Arial" w:hAnsi="Arial"/>
                <w:sz w:val="12"/>
                <w:szCs w:val="12"/>
                <w:color w:val="auto"/>
              </w:rPr>
              <w:t>INDE</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94"/>
              <w:spacing w:after="0" w:line="123" w:lineRule="exact"/>
              <w:rPr>
                <w:sz w:val="20"/>
                <w:szCs w:val="20"/>
                <w:color w:val="auto"/>
              </w:rPr>
            </w:pPr>
            <w:r>
              <w:rPr>
                <w:rFonts w:ascii="Arial" w:cs="Arial" w:eastAsia="Arial" w:hAnsi="Arial"/>
                <w:sz w:val="13"/>
                <w:szCs w:val="13"/>
                <w:b w:val="1"/>
                <w:bCs w:val="1"/>
                <w:color w:val="auto"/>
                <w:w w:val="97"/>
              </w:rPr>
              <w:t>Douglas T. Linde</w:t>
            </w:r>
          </w:p>
        </w:tc>
      </w:tr>
      <w:tr>
        <w:trPr>
          <w:trHeight w:val="168"/>
        </w:trPr>
        <w:tc>
          <w:tcPr>
            <w:tcW w:w="1200" w:type="dxa"/>
            <w:vAlign w:val="bottom"/>
          </w:tcPr>
          <w:p>
            <w:pPr>
              <w:spacing w:after="0"/>
              <w:rPr>
                <w:sz w:val="14"/>
                <w:szCs w:val="14"/>
                <w:color w:val="auto"/>
              </w:rPr>
            </w:pPr>
          </w:p>
        </w:tc>
        <w:tc>
          <w:tcPr>
            <w:tcW w:w="53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Director and President</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ind w:left="1900"/>
              <w:spacing w:after="0"/>
              <w:rPr>
                <w:sz w:val="20"/>
                <w:szCs w:val="20"/>
                <w:color w:val="auto"/>
              </w:rPr>
            </w:pPr>
            <w:r>
              <w:rPr>
                <w:rFonts w:ascii="Arial" w:cs="Arial" w:eastAsia="Arial" w:hAnsi="Arial"/>
                <w:sz w:val="16"/>
                <w:szCs w:val="16"/>
                <w:color w:val="auto"/>
                <w:w w:val="82"/>
              </w:rPr>
              <w:t>/s/</w:t>
            </w:r>
          </w:p>
        </w:tc>
        <w:tc>
          <w:tcPr>
            <w:tcW w:w="3240" w:type="dxa"/>
            <w:vAlign w:val="bottom"/>
            <w:tcBorders>
              <w:bottom w:val="single" w:sz="8" w:color="auto"/>
            </w:tcBorders>
            <w:gridSpan w:val="2"/>
          </w:tcPr>
          <w:p>
            <w:pPr>
              <w:jc w:val="center"/>
              <w:ind w:right="1654"/>
              <w:spacing w:after="0"/>
              <w:rPr>
                <w:sz w:val="20"/>
                <w:szCs w:val="20"/>
                <w:color w:val="auto"/>
              </w:rPr>
            </w:pPr>
            <w:r>
              <w:rPr>
                <w:rFonts w:ascii="Arial" w:cs="Arial" w:eastAsia="Arial" w:hAnsi="Arial"/>
                <w:sz w:val="16"/>
                <w:szCs w:val="16"/>
                <w:color w:val="auto"/>
              </w:rPr>
              <w:t>K</w:t>
            </w:r>
            <w:r>
              <w:rPr>
                <w:rFonts w:ascii="Arial" w:cs="Arial" w:eastAsia="Arial" w:hAnsi="Arial"/>
                <w:sz w:val="12"/>
                <w:szCs w:val="12"/>
                <w:color w:val="auto"/>
              </w:rPr>
              <w:t>ELLY</w:t>
            </w:r>
            <w:r>
              <w:rPr>
                <w:rFonts w:ascii="Arial" w:cs="Arial" w:eastAsia="Arial" w:hAnsi="Arial"/>
                <w:sz w:val="16"/>
                <w:szCs w:val="16"/>
                <w:color w:val="auto"/>
              </w:rPr>
              <w:t xml:space="preserve"> A. A</w:t>
            </w:r>
            <w:r>
              <w:rPr>
                <w:rFonts w:ascii="Arial" w:cs="Arial" w:eastAsia="Arial" w:hAnsi="Arial"/>
                <w:sz w:val="12"/>
                <w:szCs w:val="12"/>
                <w:color w:val="auto"/>
              </w:rPr>
              <w:t>YOTTE</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94"/>
              <w:spacing w:after="0" w:line="123" w:lineRule="exact"/>
              <w:rPr>
                <w:sz w:val="20"/>
                <w:szCs w:val="20"/>
                <w:color w:val="auto"/>
              </w:rPr>
            </w:pPr>
            <w:r>
              <w:rPr>
                <w:rFonts w:ascii="Arial" w:cs="Arial" w:eastAsia="Arial" w:hAnsi="Arial"/>
                <w:sz w:val="13"/>
                <w:szCs w:val="13"/>
                <w:b w:val="1"/>
                <w:bCs w:val="1"/>
                <w:color w:val="auto"/>
                <w:w w:val="98"/>
              </w:rPr>
              <w:t>Kelly A. Ayotte</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ind w:left="1840"/>
              <w:spacing w:after="0"/>
              <w:rPr>
                <w:sz w:val="20"/>
                <w:szCs w:val="20"/>
                <w:color w:val="auto"/>
              </w:rPr>
            </w:pPr>
            <w:r>
              <w:rPr>
                <w:rFonts w:ascii="Arial" w:cs="Arial" w:eastAsia="Arial" w:hAnsi="Arial"/>
                <w:sz w:val="16"/>
                <w:szCs w:val="16"/>
                <w:color w:val="auto"/>
              </w:rPr>
              <w:t>/s/</w:t>
            </w:r>
          </w:p>
        </w:tc>
        <w:tc>
          <w:tcPr>
            <w:tcW w:w="3240" w:type="dxa"/>
            <w:vAlign w:val="bottom"/>
            <w:tcBorders>
              <w:bottom w:val="single" w:sz="8" w:color="auto"/>
            </w:tcBorders>
            <w:gridSpan w:val="2"/>
          </w:tcPr>
          <w:p>
            <w:pPr>
              <w:jc w:val="center"/>
              <w:ind w:right="1654"/>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RUCE</w:t>
            </w:r>
            <w:r>
              <w:rPr>
                <w:rFonts w:ascii="Arial" w:cs="Arial" w:eastAsia="Arial" w:hAnsi="Arial"/>
                <w:sz w:val="16"/>
                <w:szCs w:val="16"/>
                <w:color w:val="auto"/>
              </w:rPr>
              <w:t xml:space="preserve"> W</w:t>
            </w:r>
            <w:r>
              <w:rPr>
                <w:rFonts w:ascii="Arial" w:cs="Arial" w:eastAsia="Arial" w:hAnsi="Arial"/>
                <w:sz w:val="12"/>
                <w:szCs w:val="12"/>
                <w:color w:val="auto"/>
              </w:rPr>
              <w:t>.</w:t>
            </w:r>
            <w:r>
              <w:rPr>
                <w:rFonts w:ascii="Arial" w:cs="Arial" w:eastAsia="Arial" w:hAnsi="Arial"/>
                <w:sz w:val="16"/>
                <w:szCs w:val="16"/>
                <w:color w:val="auto"/>
              </w:rPr>
              <w:t xml:space="preserve"> D</w:t>
            </w:r>
            <w:r>
              <w:rPr>
                <w:rFonts w:ascii="Arial" w:cs="Arial" w:eastAsia="Arial" w:hAnsi="Arial"/>
                <w:sz w:val="12"/>
                <w:szCs w:val="12"/>
                <w:color w:val="auto"/>
              </w:rPr>
              <w:t>UNCAN</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74"/>
              <w:spacing w:after="0" w:line="123" w:lineRule="exact"/>
              <w:rPr>
                <w:sz w:val="20"/>
                <w:szCs w:val="20"/>
                <w:color w:val="auto"/>
              </w:rPr>
            </w:pPr>
            <w:r>
              <w:rPr>
                <w:rFonts w:ascii="Arial" w:cs="Arial" w:eastAsia="Arial" w:hAnsi="Arial"/>
                <w:sz w:val="13"/>
                <w:szCs w:val="13"/>
                <w:b w:val="1"/>
                <w:bCs w:val="1"/>
                <w:color w:val="auto"/>
                <w:w w:val="96"/>
              </w:rPr>
              <w:t>Bruce W. Duncan</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r>
        <w:trPr>
          <w:trHeight w:val="424"/>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6"/>
                <w:szCs w:val="16"/>
                <w:color w:val="auto"/>
              </w:rPr>
              <w:t>/s/</w:t>
            </w:r>
          </w:p>
        </w:tc>
        <w:tc>
          <w:tcPr>
            <w:tcW w:w="3240" w:type="dxa"/>
            <w:vAlign w:val="bottom"/>
            <w:tcBorders>
              <w:bottom w:val="single" w:sz="8" w:color="auto"/>
            </w:tcBorders>
            <w:gridSpan w:val="2"/>
          </w:tcPr>
          <w:p>
            <w:pPr>
              <w:jc w:val="center"/>
              <w:ind w:right="1654"/>
              <w:spacing w:after="0"/>
              <w:rPr>
                <w:sz w:val="20"/>
                <w:szCs w:val="20"/>
                <w:color w:val="auto"/>
              </w:rPr>
            </w:pPr>
            <w:r>
              <w:rPr>
                <w:rFonts w:ascii="Arial" w:cs="Arial" w:eastAsia="Arial" w:hAnsi="Arial"/>
                <w:sz w:val="16"/>
                <w:szCs w:val="16"/>
                <w:color w:val="auto"/>
              </w:rPr>
              <w:t>C</w:t>
            </w:r>
            <w:r>
              <w:rPr>
                <w:rFonts w:ascii="Arial" w:cs="Arial" w:eastAsia="Arial" w:hAnsi="Arial"/>
                <w:sz w:val="12"/>
                <w:szCs w:val="12"/>
                <w:color w:val="auto"/>
              </w:rPr>
              <w:t>AROL</w:t>
            </w:r>
            <w:r>
              <w:rPr>
                <w:rFonts w:ascii="Arial" w:cs="Arial" w:eastAsia="Arial" w:hAnsi="Arial"/>
                <w:sz w:val="16"/>
                <w:szCs w:val="16"/>
                <w:color w:val="auto"/>
              </w:rPr>
              <w:t xml:space="preserve"> B. E</w:t>
            </w:r>
            <w:r>
              <w:rPr>
                <w:rFonts w:ascii="Arial" w:cs="Arial" w:eastAsia="Arial" w:hAnsi="Arial"/>
                <w:sz w:val="12"/>
                <w:szCs w:val="12"/>
                <w:color w:val="auto"/>
              </w:rPr>
              <w:t>INIGER</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94"/>
              <w:spacing w:after="0" w:line="123" w:lineRule="exact"/>
              <w:rPr>
                <w:sz w:val="20"/>
                <w:szCs w:val="20"/>
                <w:color w:val="auto"/>
              </w:rPr>
            </w:pPr>
            <w:r>
              <w:rPr>
                <w:rFonts w:ascii="Arial" w:cs="Arial" w:eastAsia="Arial" w:hAnsi="Arial"/>
                <w:sz w:val="13"/>
                <w:szCs w:val="13"/>
                <w:b w:val="1"/>
                <w:bCs w:val="1"/>
                <w:color w:val="auto"/>
                <w:w w:val="96"/>
              </w:rPr>
              <w:t>Carol B. Einiger</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r>
        <w:trPr>
          <w:trHeight w:val="424"/>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ind w:left="1880"/>
              <w:spacing w:after="0"/>
              <w:rPr>
                <w:sz w:val="20"/>
                <w:szCs w:val="20"/>
                <w:color w:val="auto"/>
              </w:rPr>
            </w:pPr>
            <w:r>
              <w:rPr>
                <w:rFonts w:ascii="Arial" w:cs="Arial" w:eastAsia="Arial" w:hAnsi="Arial"/>
                <w:sz w:val="16"/>
                <w:szCs w:val="16"/>
                <w:color w:val="auto"/>
                <w:w w:val="94"/>
              </w:rPr>
              <w:t>/s/</w:t>
            </w:r>
          </w:p>
        </w:tc>
        <w:tc>
          <w:tcPr>
            <w:tcW w:w="3240" w:type="dxa"/>
            <w:vAlign w:val="bottom"/>
            <w:tcBorders>
              <w:bottom w:val="single" w:sz="8" w:color="auto"/>
            </w:tcBorders>
            <w:gridSpan w:val="2"/>
          </w:tcPr>
          <w:p>
            <w:pPr>
              <w:jc w:val="center"/>
              <w:ind w:right="1654"/>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IANE</w:t>
            </w:r>
            <w:r>
              <w:rPr>
                <w:rFonts w:ascii="Arial" w:cs="Arial" w:eastAsia="Arial" w:hAnsi="Arial"/>
                <w:sz w:val="16"/>
                <w:szCs w:val="16"/>
                <w:color w:val="auto"/>
              </w:rPr>
              <w:t xml:space="preserve"> J. H</w:t>
            </w:r>
            <w:r>
              <w:rPr>
                <w:rFonts w:ascii="Arial" w:cs="Arial" w:eastAsia="Arial" w:hAnsi="Arial"/>
                <w:sz w:val="12"/>
                <w:szCs w:val="12"/>
                <w:color w:val="auto"/>
              </w:rPr>
              <w:t>OSKINS</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40" w:type="dxa"/>
            <w:vAlign w:val="bottom"/>
            <w:gridSpan w:val="2"/>
          </w:tcPr>
          <w:p>
            <w:pPr>
              <w:jc w:val="center"/>
              <w:ind w:right="1994"/>
              <w:spacing w:after="0" w:line="123" w:lineRule="exact"/>
              <w:rPr>
                <w:sz w:val="20"/>
                <w:szCs w:val="20"/>
                <w:color w:val="auto"/>
              </w:rPr>
            </w:pPr>
            <w:r>
              <w:rPr>
                <w:rFonts w:ascii="Arial" w:cs="Arial" w:eastAsia="Arial" w:hAnsi="Arial"/>
                <w:sz w:val="13"/>
                <w:szCs w:val="13"/>
                <w:b w:val="1"/>
                <w:bCs w:val="1"/>
                <w:color w:val="auto"/>
                <w:w w:val="97"/>
              </w:rPr>
              <w:t>Diane J. Hoskins</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260" w:type="dxa"/>
            <w:vAlign w:val="bottom"/>
            <w:tcBorders>
              <w:bottom w:val="single" w:sz="8" w:color="auto"/>
            </w:tcBorders>
            <w:gridSpan w:val="2"/>
          </w:tcPr>
          <w:p>
            <w:pPr>
              <w:ind w:left="2020"/>
              <w:spacing w:after="0"/>
              <w:rPr>
                <w:sz w:val="20"/>
                <w:szCs w:val="20"/>
                <w:color w:val="auto"/>
              </w:rPr>
            </w:pPr>
            <w:r>
              <w:rPr>
                <w:rFonts w:ascii="Arial" w:cs="Arial" w:eastAsia="Arial" w:hAnsi="Arial"/>
                <w:sz w:val="16"/>
                <w:szCs w:val="16"/>
                <w:color w:val="auto"/>
              </w:rPr>
              <w:t>/s/</w:t>
            </w:r>
          </w:p>
        </w:tc>
        <w:tc>
          <w:tcPr>
            <w:tcW w:w="3040" w:type="dxa"/>
            <w:vAlign w:val="bottom"/>
            <w:tcBorders>
              <w:bottom w:val="single" w:sz="8" w:color="auto"/>
            </w:tcBorders>
          </w:tcPr>
          <w:p>
            <w:pPr>
              <w:jc w:val="center"/>
              <w:ind w:right="1854"/>
              <w:spacing w:after="0"/>
              <w:rPr>
                <w:sz w:val="20"/>
                <w:szCs w:val="20"/>
                <w:color w:val="auto"/>
              </w:rPr>
            </w:pPr>
            <w:r>
              <w:rPr>
                <w:rFonts w:ascii="Arial" w:cs="Arial" w:eastAsia="Arial" w:hAnsi="Arial"/>
                <w:sz w:val="16"/>
                <w:szCs w:val="16"/>
                <w:color w:val="auto"/>
                <w:w w:val="99"/>
              </w:rPr>
              <w:t>M</w:t>
            </w:r>
            <w:r>
              <w:rPr>
                <w:rFonts w:ascii="Arial" w:cs="Arial" w:eastAsia="Arial" w:hAnsi="Arial"/>
                <w:sz w:val="12"/>
                <w:szCs w:val="12"/>
                <w:color w:val="auto"/>
                <w:w w:val="99"/>
              </w:rPr>
              <w:t>ARY</w:t>
            </w:r>
            <w:r>
              <w:rPr>
                <w:rFonts w:ascii="Arial" w:cs="Arial" w:eastAsia="Arial" w:hAnsi="Arial"/>
                <w:sz w:val="16"/>
                <w:szCs w:val="16"/>
                <w:color w:val="auto"/>
                <w:w w:val="99"/>
              </w:rPr>
              <w:t xml:space="preserve"> E. K</w:t>
            </w:r>
            <w:r>
              <w:rPr>
                <w:rFonts w:ascii="Arial" w:cs="Arial" w:eastAsia="Arial" w:hAnsi="Arial"/>
                <w:sz w:val="12"/>
                <w:szCs w:val="12"/>
                <w:color w:val="auto"/>
                <w:w w:val="99"/>
              </w:rPr>
              <w:t>IPP</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jc w:val="center"/>
              <w:ind w:right="2194"/>
              <w:spacing w:after="0" w:line="123" w:lineRule="exact"/>
              <w:rPr>
                <w:sz w:val="20"/>
                <w:szCs w:val="20"/>
                <w:color w:val="auto"/>
              </w:rPr>
            </w:pPr>
            <w:r>
              <w:rPr>
                <w:rFonts w:ascii="Arial" w:cs="Arial" w:eastAsia="Arial" w:hAnsi="Arial"/>
                <w:sz w:val="13"/>
                <w:szCs w:val="13"/>
                <w:b w:val="1"/>
                <w:bCs w:val="1"/>
                <w:color w:val="auto"/>
                <w:w w:val="98"/>
              </w:rPr>
              <w:t>Mary E. Kipp</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2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2"/>
              </w:rPr>
              <w:t>/s/</w:t>
            </w:r>
          </w:p>
        </w:tc>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J</w:t>
            </w:r>
            <w:r>
              <w:rPr>
                <w:rFonts w:ascii="Arial" w:cs="Arial" w:eastAsia="Arial" w:hAnsi="Arial"/>
                <w:sz w:val="12"/>
                <w:szCs w:val="12"/>
                <w:color w:val="auto"/>
              </w:rPr>
              <w:t>OEL</w:t>
            </w:r>
            <w:r>
              <w:rPr>
                <w:rFonts w:ascii="Arial" w:cs="Arial" w:eastAsia="Arial" w:hAnsi="Arial"/>
                <w:sz w:val="16"/>
                <w:szCs w:val="16"/>
                <w:color w:val="auto"/>
              </w:rPr>
              <w:t xml:space="preserve"> I. K</w:t>
            </w:r>
            <w:r>
              <w:rPr>
                <w:rFonts w:ascii="Arial" w:cs="Arial" w:eastAsia="Arial" w:hAnsi="Arial"/>
                <w:sz w:val="12"/>
                <w:szCs w:val="12"/>
                <w:color w:val="auto"/>
              </w:rPr>
              <w:t>LEIN</w:t>
            </w:r>
          </w:p>
        </w:tc>
      </w:tr>
      <w:tr>
        <w:trPr>
          <w:trHeight w:val="123"/>
        </w:trPr>
        <w:tc>
          <w:tcPr>
            <w:tcW w:w="1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jc w:val="center"/>
              <w:ind w:right="2194"/>
              <w:spacing w:after="0" w:line="123" w:lineRule="exact"/>
              <w:rPr>
                <w:sz w:val="20"/>
                <w:szCs w:val="20"/>
                <w:color w:val="auto"/>
              </w:rPr>
            </w:pPr>
            <w:r>
              <w:rPr>
                <w:rFonts w:ascii="Arial" w:cs="Arial" w:eastAsia="Arial" w:hAnsi="Arial"/>
                <w:sz w:val="13"/>
                <w:szCs w:val="13"/>
                <w:b w:val="1"/>
                <w:bCs w:val="1"/>
                <w:color w:val="auto"/>
                <w:w w:val="96"/>
              </w:rPr>
              <w:t>Joel I. Klein</w:t>
            </w:r>
          </w:p>
        </w:tc>
      </w:tr>
      <w:tr>
        <w:trPr>
          <w:trHeight w:val="168"/>
        </w:trPr>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jc w:val="center"/>
              <w:ind w:right="2194"/>
              <w:spacing w:after="0"/>
              <w:rPr>
                <w:sz w:val="20"/>
                <w:szCs w:val="20"/>
                <w:color w:val="auto"/>
              </w:rPr>
            </w:pPr>
            <w:r>
              <w:rPr>
                <w:rFonts w:ascii="Arial" w:cs="Arial" w:eastAsia="Arial" w:hAnsi="Arial"/>
                <w:sz w:val="13"/>
                <w:szCs w:val="13"/>
                <w:b w:val="1"/>
                <w:bCs w:val="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230"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70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186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w w:val="94"/>
              </w:rPr>
              <w:t>/s/</w:t>
            </w:r>
          </w:p>
        </w:tc>
        <w:tc>
          <w:tcPr>
            <w:tcW w:w="3440" w:type="dxa"/>
            <w:vAlign w:val="bottom"/>
            <w:tcBorders>
              <w:bottom w:val="single" w:sz="8" w:color="auto"/>
            </w:tcBorders>
          </w:tcPr>
          <w:p>
            <w:pPr>
              <w:jc w:val="center"/>
              <w:ind w:right="1712"/>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ATTHEW</w:t>
            </w:r>
            <w:r>
              <w:rPr>
                <w:rFonts w:ascii="Arial" w:cs="Arial" w:eastAsia="Arial" w:hAnsi="Arial"/>
                <w:sz w:val="16"/>
                <w:szCs w:val="16"/>
                <w:color w:val="auto"/>
              </w:rPr>
              <w:t xml:space="preserve"> J. L</w:t>
            </w:r>
            <w:r>
              <w:rPr>
                <w:rFonts w:ascii="Arial" w:cs="Arial" w:eastAsia="Arial" w:hAnsi="Arial"/>
                <w:sz w:val="12"/>
                <w:szCs w:val="12"/>
                <w:color w:val="auto"/>
              </w:rPr>
              <w:t>USTIG</w:t>
            </w:r>
          </w:p>
        </w:tc>
      </w:tr>
      <w:tr>
        <w:trPr>
          <w:trHeight w:val="123"/>
        </w:trPr>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40" w:type="dxa"/>
            <w:vAlign w:val="bottom"/>
          </w:tcPr>
          <w:p>
            <w:pPr>
              <w:jc w:val="center"/>
              <w:ind w:right="1792"/>
              <w:spacing w:after="0" w:line="123" w:lineRule="exact"/>
              <w:rPr>
                <w:sz w:val="20"/>
                <w:szCs w:val="20"/>
                <w:color w:val="auto"/>
              </w:rPr>
            </w:pPr>
            <w:r>
              <w:rPr>
                <w:rFonts w:ascii="Arial" w:cs="Arial" w:eastAsia="Arial" w:hAnsi="Arial"/>
                <w:sz w:val="13"/>
                <w:szCs w:val="13"/>
                <w:b w:val="1"/>
                <w:bCs w:val="1"/>
                <w:color w:val="auto"/>
                <w:w w:val="97"/>
              </w:rPr>
              <w:t>Matthew J. Lustig</w:t>
            </w:r>
          </w:p>
        </w:tc>
      </w:tr>
      <w:tr>
        <w:trPr>
          <w:trHeight w:val="168"/>
        </w:trPr>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40" w:type="dxa"/>
            <w:vAlign w:val="bottom"/>
          </w:tcPr>
          <w:p>
            <w:pPr>
              <w:jc w:val="center"/>
              <w:ind w:right="1792"/>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186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jc w:val="center"/>
              <w:ind w:right="1732"/>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AVID</w:t>
            </w:r>
            <w:r>
              <w:rPr>
                <w:rFonts w:ascii="Arial" w:cs="Arial" w:eastAsia="Arial" w:hAnsi="Arial"/>
                <w:sz w:val="16"/>
                <w:szCs w:val="16"/>
                <w:color w:val="auto"/>
              </w:rPr>
              <w:t xml:space="preserve"> A. T</w:t>
            </w:r>
            <w:r>
              <w:rPr>
                <w:rFonts w:ascii="Arial" w:cs="Arial" w:eastAsia="Arial" w:hAnsi="Arial"/>
                <w:sz w:val="12"/>
                <w:szCs w:val="12"/>
                <w:color w:val="auto"/>
              </w:rPr>
              <w:t>WARDOCK</w:t>
            </w:r>
          </w:p>
        </w:tc>
      </w:tr>
      <w:tr>
        <w:trPr>
          <w:trHeight w:val="123"/>
        </w:trPr>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40" w:type="dxa"/>
            <w:vAlign w:val="bottom"/>
          </w:tcPr>
          <w:p>
            <w:pPr>
              <w:jc w:val="center"/>
              <w:ind w:right="1772"/>
              <w:spacing w:after="0" w:line="123" w:lineRule="exact"/>
              <w:rPr>
                <w:sz w:val="20"/>
                <w:szCs w:val="20"/>
                <w:color w:val="auto"/>
              </w:rPr>
            </w:pPr>
            <w:r>
              <w:rPr>
                <w:rFonts w:ascii="Arial" w:cs="Arial" w:eastAsia="Arial" w:hAnsi="Arial"/>
                <w:sz w:val="13"/>
                <w:szCs w:val="13"/>
                <w:b w:val="1"/>
                <w:bCs w:val="1"/>
                <w:color w:val="auto"/>
                <w:w w:val="96"/>
              </w:rPr>
              <w:t>David A. Twardock</w:t>
            </w:r>
          </w:p>
        </w:tc>
      </w:tr>
      <w:tr>
        <w:trPr>
          <w:trHeight w:val="168"/>
        </w:trPr>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40" w:type="dxa"/>
            <w:vAlign w:val="bottom"/>
          </w:tcPr>
          <w:p>
            <w:pPr>
              <w:jc w:val="center"/>
              <w:ind w:right="1792"/>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186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jc w:val="center"/>
              <w:ind w:right="1732"/>
              <w:spacing w:after="0"/>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ILLIAM</w:t>
            </w:r>
            <w:r>
              <w:rPr>
                <w:rFonts w:ascii="Arial" w:cs="Arial" w:eastAsia="Arial" w:hAnsi="Arial"/>
                <w:sz w:val="16"/>
                <w:szCs w:val="16"/>
                <w:color w:val="auto"/>
              </w:rPr>
              <w:t xml:space="preserve"> H. W</w:t>
            </w:r>
            <w:r>
              <w:rPr>
                <w:rFonts w:ascii="Arial" w:cs="Arial" w:eastAsia="Arial" w:hAnsi="Arial"/>
                <w:sz w:val="12"/>
                <w:szCs w:val="12"/>
                <w:color w:val="auto"/>
              </w:rPr>
              <w:t>ALTON</w:t>
            </w:r>
            <w:r>
              <w:rPr>
                <w:rFonts w:ascii="Arial" w:cs="Arial" w:eastAsia="Arial" w:hAnsi="Arial"/>
                <w:sz w:val="16"/>
                <w:szCs w:val="16"/>
                <w:color w:val="auto"/>
              </w:rPr>
              <w:t>, III</w:t>
            </w:r>
          </w:p>
        </w:tc>
      </w:tr>
      <w:tr>
        <w:trPr>
          <w:trHeight w:val="123"/>
        </w:trPr>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40" w:type="dxa"/>
            <w:vAlign w:val="bottom"/>
          </w:tcPr>
          <w:p>
            <w:pPr>
              <w:jc w:val="center"/>
              <w:ind w:right="1792"/>
              <w:spacing w:after="0" w:line="123" w:lineRule="exact"/>
              <w:rPr>
                <w:sz w:val="20"/>
                <w:szCs w:val="20"/>
                <w:color w:val="auto"/>
              </w:rPr>
            </w:pPr>
            <w:r>
              <w:rPr>
                <w:rFonts w:ascii="Arial" w:cs="Arial" w:eastAsia="Arial" w:hAnsi="Arial"/>
                <w:sz w:val="13"/>
                <w:szCs w:val="13"/>
                <w:b w:val="1"/>
                <w:bCs w:val="1"/>
                <w:color w:val="auto"/>
                <w:w w:val="95"/>
              </w:rPr>
              <w:t>William H. Walton, III</w:t>
            </w:r>
          </w:p>
        </w:tc>
      </w:tr>
      <w:tr>
        <w:trPr>
          <w:trHeight w:val="168"/>
        </w:trPr>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40" w:type="dxa"/>
            <w:vAlign w:val="bottom"/>
          </w:tcPr>
          <w:p>
            <w:pPr>
              <w:jc w:val="center"/>
              <w:ind w:right="1792"/>
              <w:spacing w:after="0"/>
              <w:rPr>
                <w:sz w:val="20"/>
                <w:szCs w:val="20"/>
                <w:color w:val="auto"/>
              </w:rPr>
            </w:pPr>
            <w:r>
              <w:rPr>
                <w:rFonts w:ascii="Arial" w:cs="Arial" w:eastAsia="Arial" w:hAnsi="Arial"/>
                <w:sz w:val="13"/>
                <w:szCs w:val="13"/>
                <w:b w:val="1"/>
                <w:bCs w:val="1"/>
                <w:color w:val="auto"/>
              </w:rPr>
              <w:t>Director</w:t>
            </w:r>
          </w:p>
        </w:tc>
      </w:tr>
      <w:tr>
        <w:trPr>
          <w:trHeight w:val="518"/>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186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jc w:val="center"/>
              <w:ind w:right="1732"/>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r>
      <w:tr>
        <w:trPr>
          <w:trHeight w:val="123"/>
        </w:trPr>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40" w:type="dxa"/>
            <w:vAlign w:val="bottom"/>
          </w:tcPr>
          <w:p>
            <w:pPr>
              <w:jc w:val="center"/>
              <w:ind w:right="1792"/>
              <w:spacing w:after="0" w:line="123" w:lineRule="exact"/>
              <w:rPr>
                <w:sz w:val="20"/>
                <w:szCs w:val="20"/>
                <w:color w:val="auto"/>
              </w:rPr>
            </w:pPr>
            <w:r>
              <w:rPr>
                <w:rFonts w:ascii="Arial" w:cs="Arial" w:eastAsia="Arial" w:hAnsi="Arial"/>
                <w:sz w:val="13"/>
                <w:szCs w:val="13"/>
                <w:b w:val="1"/>
                <w:bCs w:val="1"/>
                <w:color w:val="auto"/>
                <w:w w:val="96"/>
              </w:rPr>
              <w:t>Michael E. LaBelle</w:t>
            </w:r>
          </w:p>
        </w:tc>
      </w:tr>
      <w:tr>
        <w:trPr>
          <w:trHeight w:val="119"/>
        </w:trPr>
        <w:tc>
          <w:tcPr>
            <w:tcW w:w="1200" w:type="dxa"/>
            <w:vAlign w:val="bottom"/>
          </w:tcPr>
          <w:p>
            <w:pPr>
              <w:spacing w:after="0"/>
              <w:rPr>
                <w:sz w:val="10"/>
                <w:szCs w:val="10"/>
                <w:color w:val="auto"/>
              </w:rPr>
            </w:pPr>
          </w:p>
        </w:tc>
        <w:tc>
          <w:tcPr>
            <w:tcW w:w="53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Executive Vice President, Chief Financial Officer and</w:t>
            </w:r>
          </w:p>
        </w:tc>
      </w:tr>
      <w:tr>
        <w:trPr>
          <w:trHeight w:val="168"/>
        </w:trPr>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40" w:type="dxa"/>
            <w:vAlign w:val="bottom"/>
          </w:tcPr>
          <w:p>
            <w:pPr>
              <w:jc w:val="center"/>
              <w:ind w:right="1772"/>
              <w:spacing w:after="0"/>
              <w:rPr>
                <w:sz w:val="20"/>
                <w:szCs w:val="20"/>
                <w:color w:val="auto"/>
              </w:rPr>
            </w:pPr>
            <w:r>
              <w:rPr>
                <w:rFonts w:ascii="Arial" w:cs="Arial" w:eastAsia="Arial" w:hAnsi="Arial"/>
                <w:sz w:val="13"/>
                <w:szCs w:val="13"/>
                <w:b w:val="1"/>
                <w:bCs w:val="1"/>
                <w:color w:val="auto"/>
                <w:w w:val="97"/>
              </w:rPr>
              <w:t>Principal Financial Officer</w:t>
            </w:r>
          </w:p>
        </w:tc>
      </w:tr>
      <w:tr>
        <w:trPr>
          <w:trHeight w:val="529"/>
        </w:trPr>
        <w:tc>
          <w:tcPr>
            <w:tcW w:w="1200" w:type="dxa"/>
            <w:vAlign w:val="bottom"/>
          </w:tcPr>
          <w:p>
            <w:pPr>
              <w:spacing w:after="0"/>
              <w:rPr>
                <w:sz w:val="20"/>
                <w:szCs w:val="20"/>
                <w:color w:val="auto"/>
              </w:rPr>
            </w:pPr>
            <w:r>
              <w:rPr>
                <w:rFonts w:ascii="Arial" w:cs="Arial" w:eastAsia="Arial" w:hAnsi="Arial"/>
                <w:sz w:val="16"/>
                <w:szCs w:val="16"/>
                <w:color w:val="auto"/>
              </w:rPr>
              <w:t>By:</w:t>
            </w:r>
          </w:p>
        </w:tc>
        <w:tc>
          <w:tcPr>
            <w:tcW w:w="5300" w:type="dxa"/>
            <w:vAlign w:val="bottom"/>
            <w:gridSpan w:val="2"/>
          </w:tcPr>
          <w:p>
            <w:pPr>
              <w:ind w:left="180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R</w:t>
            </w:r>
            <w:r>
              <w:rPr>
                <w:rFonts w:ascii="Arial" w:cs="Arial" w:eastAsia="Arial" w:hAnsi="Arial"/>
                <w:sz w:val="12"/>
                <w:szCs w:val="12"/>
                <w:color w:val="auto"/>
              </w:rPr>
              <w:t>.</w:t>
            </w:r>
            <w:r>
              <w:rPr>
                <w:rFonts w:ascii="Arial" w:cs="Arial" w:eastAsia="Arial" w:hAnsi="Arial"/>
                <w:sz w:val="16"/>
                <w:szCs w:val="16"/>
                <w:color w:val="auto"/>
              </w:rPr>
              <w:t xml:space="preserve"> W</w:t>
            </w:r>
            <w:r>
              <w:rPr>
                <w:rFonts w:ascii="Arial" w:cs="Arial" w:eastAsia="Arial" w:hAnsi="Arial"/>
                <w:sz w:val="12"/>
                <w:szCs w:val="12"/>
                <w:color w:val="auto"/>
              </w:rPr>
              <w:t>ALSH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635</wp:posOffset>
            </wp:positionV>
            <wp:extent cx="33566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4">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jc w:val="center"/>
        <w:ind w:left="5840"/>
        <w:spacing w:after="0" w:line="237" w:lineRule="auto"/>
        <w:rPr>
          <w:sz w:val="20"/>
          <w:szCs w:val="20"/>
          <w:color w:val="auto"/>
        </w:rPr>
      </w:pPr>
      <w:r>
        <w:rPr>
          <w:rFonts w:ascii="Arial" w:cs="Arial" w:eastAsia="Arial" w:hAnsi="Arial"/>
          <w:sz w:val="13"/>
          <w:szCs w:val="13"/>
          <w:b w:val="1"/>
          <w:bCs w:val="1"/>
          <w:color w:val="auto"/>
        </w:rPr>
        <w:t>Michael R. Walsh</w:t>
      </w:r>
    </w:p>
    <w:p>
      <w:pPr>
        <w:jc w:val="center"/>
        <w:ind w:left="5800"/>
        <w:spacing w:after="0" w:line="209" w:lineRule="auto"/>
        <w:rPr>
          <w:sz w:val="20"/>
          <w:szCs w:val="20"/>
          <w:color w:val="auto"/>
        </w:rPr>
      </w:pPr>
      <w:r>
        <w:rPr>
          <w:rFonts w:ascii="Arial" w:cs="Arial" w:eastAsia="Arial" w:hAnsi="Arial"/>
          <w:sz w:val="13"/>
          <w:szCs w:val="13"/>
          <w:b w:val="1"/>
          <w:bCs w:val="1"/>
          <w:color w:val="auto"/>
        </w:rPr>
        <w:t>Senior Vice President, Chief Accounting Officer and</w:t>
      </w:r>
    </w:p>
    <w:p>
      <w:pPr>
        <w:ind w:left="7700"/>
        <w:spacing w:after="0"/>
        <w:rPr>
          <w:sz w:val="20"/>
          <w:szCs w:val="20"/>
          <w:color w:val="auto"/>
        </w:rPr>
      </w:pPr>
      <w:r>
        <w:rPr>
          <w:rFonts w:ascii="Arial" w:cs="Arial" w:eastAsia="Arial" w:hAnsi="Arial"/>
          <w:sz w:val="13"/>
          <w:szCs w:val="13"/>
          <w:b w:val="1"/>
          <w:bCs w:val="1"/>
          <w:color w:val="auto"/>
        </w:rPr>
        <w:t>Principal Accounting Officer</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200"/>
          </w:cols>
          <w:pgMar w:left="320" w:top="281" w:right="379" w:bottom="1440" w:gutter="0" w:footer="0" w:header="0"/>
        </w:sectPr>
      </w:pPr>
    </w:p>
    <w:bookmarkStart w:id="205" w:name="page206"/>
    <w:bookmarkEnd w:id="205"/>
    <w:p>
      <w:pPr>
        <w:ind w:left="10300"/>
        <w:spacing w:after="0"/>
        <w:rPr>
          <w:sz w:val="20"/>
          <w:szCs w:val="20"/>
          <w:color w:val="auto"/>
        </w:rPr>
      </w:pPr>
      <w:r>
        <w:rPr>
          <w:rFonts w:ascii="Arial" w:cs="Arial" w:eastAsia="Arial" w:hAnsi="Arial"/>
          <w:sz w:val="16"/>
          <w:szCs w:val="16"/>
          <w:b w:val="1"/>
          <w:bCs w:val="1"/>
          <w:color w:val="auto"/>
        </w:rPr>
        <w:t>Exhibit 21.1</w:t>
      </w:r>
    </w:p>
    <w:p>
      <w:pPr>
        <w:spacing w:after="0" w:line="346"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All of the following are subsidiaries of both Boston Properties, Inc. and Boston Properties Limited Partnership, except Boston Properties Limited Partnership is only a subsidiary of Boston Properties,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260" w:type="dxa"/>
            <w:vAlign w:val="bottom"/>
          </w:tcPr>
          <w:p>
            <w:pPr>
              <w:ind w:left="20"/>
              <w:spacing w:after="0"/>
              <w:rPr>
                <w:sz w:val="20"/>
                <w:szCs w:val="20"/>
                <w:color w:val="auto"/>
              </w:rPr>
            </w:pPr>
            <w:r>
              <w:rPr>
                <w:rFonts w:ascii="Arial" w:cs="Arial" w:eastAsia="Arial" w:hAnsi="Arial"/>
                <w:sz w:val="14"/>
                <w:szCs w:val="14"/>
                <w:color w:val="auto"/>
                <w:w w:val="94"/>
              </w:rPr>
              <w:t>100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Federal JV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Federal Subsidiary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Federal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Carnegie Center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121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Broadway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125</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Broadway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1265 Main Office JV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1265 Main Office Subsidiary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1330 Connecticut Fitness Center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17M Associates L.P.</w:t>
            </w:r>
          </w:p>
        </w:tc>
        <w:tc>
          <w:tcPr>
            <w:tcW w:w="2380" w:type="dxa"/>
            <w:vAlign w:val="bottom"/>
          </w:tcPr>
          <w:p>
            <w:pPr>
              <w:ind w:left="20"/>
              <w:spacing w:after="0"/>
              <w:rPr>
                <w:sz w:val="20"/>
                <w:szCs w:val="20"/>
                <w:color w:val="auto"/>
              </w:rPr>
            </w:pPr>
            <w:r>
              <w:rPr>
                <w:rFonts w:ascii="Arial" w:cs="Arial" w:eastAsia="Arial" w:hAnsi="Arial"/>
                <w:sz w:val="14"/>
                <w:szCs w:val="14"/>
                <w:color w:val="auto"/>
              </w:rPr>
              <w:t>District of Columbia</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191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Spring Street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Fifth Avenue JV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Fifth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206</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210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211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290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Binney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3HBXP LLC</w:t>
            </w:r>
          </w:p>
        </w:tc>
        <w:tc>
          <w:tcPr>
            <w:tcW w:w="2380" w:type="dxa"/>
            <w:vAlign w:val="bottom"/>
          </w:tcPr>
          <w:p>
            <w:pPr>
              <w:ind w:left="20"/>
              <w:spacing w:after="0"/>
              <w:rPr>
                <w:sz w:val="20"/>
                <w:szCs w:val="20"/>
                <w:color w:val="auto"/>
              </w:rPr>
            </w:pPr>
            <w:r>
              <w:rPr>
                <w:rFonts w:ascii="Arial" w:cs="Arial" w:eastAsia="Arial" w:hAnsi="Arial"/>
                <w:sz w:val="14"/>
                <w:szCs w:val="14"/>
                <w:color w:val="auto"/>
              </w:rPr>
              <w:t>Vermont</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30 Shattuck Road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347</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Madison Avenue Venture,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360 PAS Holdco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360 PAS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360 PAS Promote-C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360 PAS Promote-G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360 PAS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399</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Services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40-46 Harvard Street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500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North Capitol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500</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North Capitol Venture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501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K Street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501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K Street Property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601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&amp; 651 Gateway Center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601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Mass Fitness Center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611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Gateway Center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635 Mass Ave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681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Gateway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701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Gateway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751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Gateway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751</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Gateway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3"/>
          </w:tcPr>
          <w:p>
            <w:pPr>
              <w:ind w:left="20"/>
              <w:spacing w:after="0"/>
              <w:rPr>
                <w:sz w:val="20"/>
                <w:szCs w:val="20"/>
                <w:color w:val="auto"/>
              </w:rPr>
            </w:pPr>
            <w:r>
              <w:rPr>
                <w:rFonts w:ascii="Arial" w:cs="Arial" w:eastAsia="Arial" w:hAnsi="Arial"/>
                <w:sz w:val="14"/>
                <w:szCs w:val="14"/>
                <w:color w:val="auto"/>
              </w:rPr>
              <w:t>751 Gateway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767</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Fifth Junior Mezz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767</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Fifth Lender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260" w:type="dxa"/>
            <w:vAlign w:val="bottom"/>
          </w:tcPr>
          <w:p>
            <w:pPr>
              <w:ind w:left="20"/>
              <w:spacing w:after="0"/>
              <w:rPr>
                <w:sz w:val="20"/>
                <w:szCs w:val="20"/>
                <w:color w:val="auto"/>
              </w:rPr>
            </w:pPr>
            <w:r>
              <w:rPr>
                <w:rFonts w:ascii="Arial" w:cs="Arial" w:eastAsia="Arial" w:hAnsi="Arial"/>
                <w:sz w:val="14"/>
                <w:szCs w:val="14"/>
                <w:color w:val="auto"/>
                <w:w w:val="94"/>
              </w:rPr>
              <w:t>767</w:t>
            </w:r>
          </w:p>
        </w:tc>
        <w:tc>
          <w:tcPr>
            <w:tcW w:w="8580" w:type="dxa"/>
            <w:vAlign w:val="bottom"/>
            <w:gridSpan w:val="2"/>
          </w:tcPr>
          <w:p>
            <w:pPr>
              <w:ind w:left="20"/>
              <w:spacing w:after="0"/>
              <w:rPr>
                <w:sz w:val="20"/>
                <w:szCs w:val="20"/>
                <w:color w:val="auto"/>
              </w:rPr>
            </w:pPr>
            <w:r>
              <w:rPr>
                <w:rFonts w:ascii="Arial" w:cs="Arial" w:eastAsia="Arial" w:hAnsi="Arial"/>
                <w:sz w:val="14"/>
                <w:szCs w:val="14"/>
                <w:color w:val="auto"/>
              </w:rPr>
              <w:t>Fifth Partners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795" w:right="33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767 Fifth Senior Mezz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767 Fifth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767 Venture,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7750 Wisconsin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7750 Wisconsin Avenue Property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880 Winter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890 Winter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90 Church Street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901 New York Avenue Fitness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901 New York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901 New York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91 Hartwell Avenue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92 Hayden Avenue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AJ Lot 2R Financing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AJ Lot 2R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AJ Lot 3R Financing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AJ Lot 3R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AJ Lot 8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Annapolis Junction NFM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Atlantic Wharf JV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Atlantic Wharf Subsidiary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Block 4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BNY Tower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BNY Tower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BNYTA Amenity Operator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Boston Properties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Boston Properties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Boston Properties Services,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Boston Properties TRS, Inc.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10 CityPoint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103 Fourth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111 Huntington Ave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1265 Main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1330 Connecticut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1333 New Hampshire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140 Kendrick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140 Kendrick Street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140 Kendrick Street Property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17 Hartwell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200 Clarendon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201 Spring Street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230 City Point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347 Madison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347 Madison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399 Park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3HB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3HB Lender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3HB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8" w:right="35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500 North Capitol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501 K Street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510 Madison Ave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510 Madison HC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510 Madison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599 Lexington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767 Fifth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888 Boylston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99 Third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Atlantic Wharf Master Tenant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 Garage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 Retail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 Tower Office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 Waterfront Office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AWRR Trustee 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AWRR Trustee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AWTO Trustee 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AWTO Trustee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AWTO Trustee III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Bay Colony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Bay Colony HC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Bay Colony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Bay Colony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Bedford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Belvidere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Cambridge Center Residential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CGC II Retail Operator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CityPoint Association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Crane Meadow,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East Garage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EC1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EC2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EC3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EC4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Federal Street LLLC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Five CC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Four CC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Fourth Avenue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Fourth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Hancock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Hancock Parking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Hartwell Avenue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Hayden Avenue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Hotel JV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Hotel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III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Jones Road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7" w:right="35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Kingstowne Office Building K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Kingstowne Office Building 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Kingstowne Theatre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LOP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Mall Road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Management,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Market Square North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Mill Road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Navy Yard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Navy Yard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New Dominion Technology Park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New York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Office JV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Podium JV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Prospect Place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Prucenter Acquisition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Prucenter Development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Prucenter Exeter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Prucenter Fairfield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RB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Realty New Jersey, LLC</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Realty Washington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Reservoir Place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Reservoir Place Fitness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Reservoir Place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Residential JV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Reston Eastgate,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RTC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Russia Building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Russia Wharf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Services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Seven Cambridge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Seventeen Cambridge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Spring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Supermarket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Third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Times Square Tower Mezzanine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West Street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Weston Quarry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 Weston Quarry Residential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BP/CGCenter 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BP/CGCenter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BP/CGCenter MM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BP/CRF 901 New York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BP/CRF Metropolitan Square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BP/DC 767 Fifth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BP/DC Properties, Inc.</w:t>
            </w:r>
          </w:p>
        </w:tc>
        <w:tc>
          <w:tcPr>
            <w:tcW w:w="2380" w:type="dxa"/>
            <w:vAlign w:val="bottom"/>
          </w:tcPr>
          <w:p>
            <w:pPr>
              <w:ind w:left="20"/>
              <w:spacing w:after="0"/>
              <w:rPr>
                <w:sz w:val="20"/>
                <w:szCs w:val="20"/>
                <w:color w:val="auto"/>
              </w:rPr>
            </w:pPr>
            <w:r>
              <w:rPr>
                <w:rFonts w:ascii="Arial" w:cs="Arial" w:eastAsia="Arial" w:hAnsi="Arial"/>
                <w:sz w:val="14"/>
                <w:szCs w:val="14"/>
                <w:color w:val="auto"/>
              </w:rPr>
              <w:t>Maryland</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BP/DC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7" w:right="35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BP/M 3HB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BP-AJ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BPI EC4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BPLP SMBP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BPLP SMBP LP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BP-M 3HB Holdco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BP-M 3HB Mezz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BP-M 3HB Venture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Garage General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Garage Limited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Hotel General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Hotel Limited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Office General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Office Limited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Podium General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Podium Limited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Residential General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BPNS Residential Limited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BP-WP Project Developer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17Fifty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200 Fifth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200 Fifth Management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2100 Penn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360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360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360 PAS Appointer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360 Promote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7750 Wisconsin Avenue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Almaden Associates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Beach Cities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California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Carnegie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Colorado Center Appointer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Colorado Center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Colorado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Colorado LP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CP South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EIP Investor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Folsom-Hawthorne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Gateway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Gateway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Harrison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Investments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MacArthur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Madison Centre 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Madison Centre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Madison Centre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Mission 535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7" w:right="35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North First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Peterson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Platform 16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Platform 16 LP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Ravendale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Research Park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Reston Next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Reston Next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Safeco Plaza Appointer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Safeco Plaza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Safeco Plaza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Safeco Plaza Promote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SCP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Second Ave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Shady Grove Lot 5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Shady Grove Lot 6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Shady Grove Lot 7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Shady Grove Lot 8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TB Development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Transbay Management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VB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Waltham Woods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West El Camino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BXP Zanker Road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CA-Colorado Center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CA-Colorado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Cambridge Center North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Cambridge Center West Garage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Cambridge Center West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103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214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408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504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506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508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510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804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Center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Center Cafes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Carnegie Center Fitness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CRF Met Square,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Discovery Square,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Downtown Boston Properties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Elandzee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Eleven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Embarcadero Center Associates</w:t>
            </w:r>
          </w:p>
        </w:tc>
        <w:tc>
          <w:tcPr>
            <w:tcW w:w="2380" w:type="dxa"/>
            <w:vAlign w:val="bottom"/>
          </w:tcPr>
          <w:p>
            <w:pPr>
              <w:ind w:left="20"/>
              <w:spacing w:after="0"/>
              <w:rPr>
                <w:sz w:val="20"/>
                <w:szCs w:val="20"/>
                <w:color w:val="auto"/>
              </w:rPr>
            </w:pPr>
            <w:r>
              <w:rPr>
                <w:rFonts w:ascii="Arial" w:cs="Arial" w:eastAsia="Arial" w:hAnsi="Arial"/>
                <w:sz w:val="14"/>
                <w:szCs w:val="14"/>
                <w:color w:val="auto"/>
              </w:rPr>
              <w:t>California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Four Embarcadero Center Venture</w:t>
            </w:r>
          </w:p>
        </w:tc>
        <w:tc>
          <w:tcPr>
            <w:tcW w:w="2380" w:type="dxa"/>
            <w:vAlign w:val="bottom"/>
          </w:tcPr>
          <w:p>
            <w:pPr>
              <w:ind w:left="20"/>
              <w:spacing w:after="0"/>
              <w:rPr>
                <w:sz w:val="20"/>
                <w:szCs w:val="20"/>
                <w:color w:val="auto"/>
              </w:rPr>
            </w:pPr>
            <w:r>
              <w:rPr>
                <w:rFonts w:ascii="Arial" w:cs="Arial" w:eastAsia="Arial" w:hAnsi="Arial"/>
                <w:sz w:val="14"/>
                <w:szCs w:val="14"/>
                <w:color w:val="auto"/>
              </w:rPr>
              <w:t>California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Fourteen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bl>
    <w:p>
      <w:pPr>
        <w:sectPr>
          <w:pgSz w:w="11900" w:h="16838" w:orient="portrait"/>
          <w:cols w:equalWidth="0" w:num="1">
            <w:col w:w="11220"/>
          </w:cols>
          <w:pgMar w:left="320" w:top="917" w:right="35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Gateway Center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Gateway Center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Gateway Portfolio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Gateway Portfolio Member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Gladden Properties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Harrison 759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Hayden Office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Hotel Tower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Hotel Tower Owner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Hotel Tower Owner,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IXP, LLC</w:t>
            </w:r>
          </w:p>
        </w:tc>
        <w:tc>
          <w:tcPr>
            <w:tcW w:w="2380" w:type="dxa"/>
            <w:vAlign w:val="bottom"/>
          </w:tcPr>
          <w:p>
            <w:pPr>
              <w:ind w:left="20"/>
              <w:spacing w:after="0"/>
              <w:rPr>
                <w:sz w:val="20"/>
                <w:szCs w:val="20"/>
                <w:color w:val="auto"/>
              </w:rPr>
            </w:pPr>
            <w:r>
              <w:rPr>
                <w:rFonts w:ascii="Arial" w:cs="Arial" w:eastAsia="Arial" w:hAnsi="Arial"/>
                <w:sz w:val="14"/>
                <w:szCs w:val="14"/>
                <w:color w:val="auto"/>
              </w:rPr>
              <w:t>Vermont</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Jones Road Development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Lexreal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York</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LKE BP Fourth Avenue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Mall Road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Market Square North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Market Square North Fitness Center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MBZ-Lex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Metropolitan Square Fitness Center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Metropolitan Square Holdco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Metropolitan Square Mezz A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Metropolitan Square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New Dominion Technology Corp.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New Dominion Technology Park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New Dominion Technology Park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No. 1 Times Square Development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No. 5 Times Square Development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NY 510 Junior Mezz Lender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NYXP, LLC</w:t>
            </w:r>
          </w:p>
        </w:tc>
        <w:tc>
          <w:tcPr>
            <w:tcW w:w="2380" w:type="dxa"/>
            <w:vAlign w:val="bottom"/>
          </w:tcPr>
          <w:p>
            <w:pPr>
              <w:ind w:left="20"/>
              <w:spacing w:after="0"/>
              <w:rPr>
                <w:sz w:val="20"/>
                <w:szCs w:val="20"/>
                <w:color w:val="auto"/>
              </w:rPr>
            </w:pPr>
            <w:r>
              <w:rPr>
                <w:rFonts w:ascii="Arial" w:cs="Arial" w:eastAsia="Arial" w:hAnsi="Arial"/>
                <w:sz w:val="14"/>
                <w:szCs w:val="14"/>
                <w:color w:val="auto"/>
              </w:rPr>
              <w:t>Vermont</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Ocean View Development Company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District of Columbia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Office Tower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Office Tower Owner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Office Tower Owner,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One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One Embarcadero Center Venture</w:t>
            </w:r>
          </w:p>
        </w:tc>
        <w:tc>
          <w:tcPr>
            <w:tcW w:w="2380" w:type="dxa"/>
            <w:vAlign w:val="bottom"/>
          </w:tcPr>
          <w:p>
            <w:pPr>
              <w:ind w:left="20"/>
              <w:spacing w:after="0"/>
              <w:rPr>
                <w:sz w:val="20"/>
                <w:szCs w:val="20"/>
                <w:color w:val="auto"/>
              </w:rPr>
            </w:pPr>
            <w:r>
              <w:rPr>
                <w:rFonts w:ascii="Arial" w:cs="Arial" w:eastAsia="Arial" w:hAnsi="Arial"/>
                <w:sz w:val="14"/>
                <w:szCs w:val="14"/>
                <w:color w:val="auto"/>
              </w:rPr>
              <w:t>California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One Freedom Square,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One Tower Center Cafe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Platform 16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Platform 16 Holdings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Platform 16 Sub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Platform 16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Podium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Podium Owner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Podium Owner,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PR II/BXP Reston Gateway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Princeton 202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Princeton Childcare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Residential Tower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7" w:right="35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Residential Tower Owner GP,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Residential Tower Owner,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Corporate Center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Virginia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Gateway Condo A/B,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Gateway Condo 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Gateway Condo D1,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Gateway Condo D2,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Gateway Condo D3,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Streets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Town Center JV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Town Center Office Park Phase One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Virginia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Town Center Property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Reston VA 939,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Rosecrans-Sepulveda Partners 4,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RTC Gift Card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Russia Building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Safeco Plaza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Safeco Plaza Promote-G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Safeco Plaza Promote-K LP</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Safeco Plaza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School Street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District of Columbia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SCV Partners</w:t>
            </w:r>
          </w:p>
        </w:tc>
        <w:tc>
          <w:tcPr>
            <w:tcW w:w="238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SMBP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SMBP REIT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SMBP Venture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South of Market Garage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South of Market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South of Market Lot 16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Springfield 6601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Springfield Metro Center II,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Springfield Parcel C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Square 36 Office Joint Venture</w:t>
            </w:r>
          </w:p>
        </w:tc>
        <w:tc>
          <w:tcPr>
            <w:tcW w:w="2380" w:type="dxa"/>
            <w:vAlign w:val="bottom"/>
          </w:tcPr>
          <w:p>
            <w:pPr>
              <w:ind w:left="20"/>
              <w:spacing w:after="0"/>
              <w:rPr>
                <w:sz w:val="20"/>
                <w:szCs w:val="20"/>
                <w:color w:val="auto"/>
              </w:rPr>
            </w:pPr>
            <w:r>
              <w:rPr>
                <w:rFonts w:ascii="Arial" w:cs="Arial" w:eastAsia="Arial" w:hAnsi="Arial"/>
                <w:sz w:val="14"/>
                <w:szCs w:val="14"/>
                <w:color w:val="auto"/>
              </w:rPr>
              <w:t>District of Columbia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Square 407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District of Columbia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Square 54 Office Fitness TRS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Square 54 Office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Square 54 Residential Owner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Stony Brook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Ten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The Atlantic Monthly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The Double B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The Double B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The Metropolitan Square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Three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Three Embarcadero Center Venture</w:t>
            </w:r>
          </w:p>
        </w:tc>
        <w:tc>
          <w:tcPr>
            <w:tcW w:w="2380" w:type="dxa"/>
            <w:vAlign w:val="bottom"/>
          </w:tcPr>
          <w:p>
            <w:pPr>
              <w:ind w:left="20"/>
              <w:spacing w:after="0"/>
              <w:rPr>
                <w:sz w:val="20"/>
                <w:szCs w:val="20"/>
                <w:color w:val="auto"/>
              </w:rPr>
            </w:pPr>
            <w:r>
              <w:rPr>
                <w:rFonts w:ascii="Arial" w:cs="Arial" w:eastAsia="Arial" w:hAnsi="Arial"/>
                <w:sz w:val="14"/>
                <w:szCs w:val="14"/>
                <w:color w:val="auto"/>
              </w:rPr>
              <w:t>California</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Times Square Tower Associates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Tower Oaks Financing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Tracer Lane Trust II</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Transbay Tower Holdings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7" w:right="35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4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Organization</w:t>
            </w:r>
          </w:p>
        </w:tc>
      </w:tr>
      <w:tr>
        <w:trPr>
          <w:trHeight w:val="179"/>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Transbay Tower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Two Cambridge Center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Two Freedom Square,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Washingtonian North Associates Limited Partnership</w:t>
            </w:r>
          </w:p>
        </w:tc>
        <w:tc>
          <w:tcPr>
            <w:tcW w:w="2380" w:type="dxa"/>
            <w:vAlign w:val="bottom"/>
          </w:tcPr>
          <w:p>
            <w:pPr>
              <w:ind w:left="20"/>
              <w:spacing w:after="0"/>
              <w:rPr>
                <w:sz w:val="20"/>
                <w:szCs w:val="20"/>
                <w:color w:val="auto"/>
              </w:rPr>
            </w:pPr>
            <w:r>
              <w:rPr>
                <w:rFonts w:ascii="Arial" w:cs="Arial" w:eastAsia="Arial" w:hAnsi="Arial"/>
                <w:sz w:val="14"/>
                <w:szCs w:val="14"/>
                <w:color w:val="auto"/>
              </w:rPr>
              <w:t>Maryland</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Wisconsin Place Office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Wisconsin Place Office Manager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WP Project Developer LLC</w:t>
            </w:r>
          </w:p>
        </w:tc>
        <w:tc>
          <w:tcPr>
            <w:tcW w:w="238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WP Trust</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Zee Bee Trust II</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r>
        <w:trPr>
          <w:trHeight w:val="19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Zee Em Trust II</w:t>
            </w:r>
          </w:p>
        </w:tc>
        <w:tc>
          <w:tcPr>
            <w:tcW w:w="2380" w:type="dxa"/>
            <w:vAlign w:val="bottom"/>
          </w:tcPr>
          <w:p>
            <w:pPr>
              <w:ind w:left="20"/>
              <w:spacing w:after="0"/>
              <w:rPr>
                <w:sz w:val="20"/>
                <w:szCs w:val="20"/>
                <w:color w:val="auto"/>
              </w:rPr>
            </w:pPr>
            <w:r>
              <w:rPr>
                <w:rFonts w:ascii="Arial" w:cs="Arial" w:eastAsia="Arial" w:hAnsi="Arial"/>
                <w:sz w:val="14"/>
                <w:szCs w:val="14"/>
                <w:color w:val="auto"/>
              </w:rPr>
              <w:t>Massachusetts</w:t>
            </w:r>
          </w:p>
        </w:tc>
      </w:tr>
    </w:tbl>
    <w:p>
      <w:pPr>
        <w:sectPr>
          <w:pgSz w:w="11900" w:h="16838" w:orient="portrait"/>
          <w:cols w:equalWidth="0" w:num="1">
            <w:col w:w="11220"/>
          </w:cols>
          <w:pgMar w:left="320" w:top="917" w:right="35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hereby consent to the incorporation by reference in the Registration Statements on Form S-3 (No. 333-238620, 333- 238607, 333-135189, 333-</w:t>
      </w:r>
    </w:p>
    <w:p>
      <w:pPr>
        <w:ind w:right="120"/>
        <w:spacing w:after="0" w:line="239" w:lineRule="auto"/>
        <w:rPr>
          <w:sz w:val="20"/>
          <w:szCs w:val="20"/>
          <w:color w:val="auto"/>
        </w:rPr>
      </w:pPr>
      <w:r>
        <w:rPr>
          <w:rFonts w:ascii="Arial" w:cs="Arial" w:eastAsia="Arial" w:hAnsi="Arial"/>
          <w:sz w:val="16"/>
          <w:szCs w:val="16"/>
          <w:color w:val="auto"/>
        </w:rPr>
        <w:t>135187, 333-101255, 333-92402, 333-82498, 333-58694, 333-51024, 333-40618, 333-39114, 333-36142, 333-91425, 333-86585, 333-83859, 333-83861, 333-83863, 333-83867, 333-83869, 333-80513, 333-70765, 333-68379, 333-61799, and 333-60219) and Form S-8 (No. 333-256341, 333-181483, 333-81824, 333-54550, 333-70321, and 333-52845) of Boston Properties, Inc. of our report dated February 27,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Boston, MA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ectPr>
          <w:pgSz w:w="11900" w:h="16838" w:orient="portrait"/>
          <w:cols w:equalWidth="0" w:num="1">
            <w:col w:w="11260"/>
          </w:cols>
          <w:pgMar w:left="320" w:top="1008"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83" w:lineRule="exact"/>
        <w:rPr>
          <w:sz w:val="20"/>
          <w:szCs w:val="20"/>
          <w:color w:val="auto"/>
        </w:rPr>
      </w:pPr>
    </w:p>
    <w:p>
      <w:pPr>
        <w:ind w:right="60" w:firstLine="427"/>
        <w:spacing w:after="0" w:line="236"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333-238607-01) and Form S-8 (No. 333-256341-01, 333-181483-01, 333-148926 and 333-112109) of Boston Properties Limited Partnership of our report dated February 27,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Boston, MA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ectPr>
          <w:pgSz w:w="11900" w:h="16838" w:orient="portrait"/>
          <w:cols w:equalWidth="0" w:num="1">
            <w:col w:w="11260"/>
          </w:cols>
          <w:pgMar w:left="320" w:top="1008"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Owen D. Thomas, certify that:</w:t>
      </w:r>
    </w:p>
    <w:p>
      <w:pPr>
        <w:spacing w:after="0" w:line="77" w:lineRule="exact"/>
        <w:rPr>
          <w:sz w:val="20"/>
          <w:szCs w:val="20"/>
          <w:color w:val="auto"/>
        </w:rPr>
      </w:pPr>
    </w:p>
    <w:p>
      <w:pPr>
        <w:ind w:left="340" w:hanging="310"/>
        <w:spacing w:after="0"/>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Inc.;</w:t>
      </w:r>
    </w:p>
    <w:p>
      <w:pPr>
        <w:spacing w:after="0" w:line="76" w:lineRule="exact"/>
        <w:rPr>
          <w:rFonts w:ascii="Arial" w:cs="Arial" w:eastAsia="Arial" w:hAnsi="Arial"/>
          <w:sz w:val="16"/>
          <w:szCs w:val="16"/>
          <w:color w:val="auto"/>
        </w:rPr>
      </w:pPr>
    </w:p>
    <w:p>
      <w:pPr>
        <w:ind w:left="380" w:right="180" w:hanging="350"/>
        <w:spacing w:after="0" w:line="286" w:lineRule="auto"/>
        <w:tabs>
          <w:tab w:leader="none" w:pos="33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380" w:right="220" w:hanging="350"/>
        <w:spacing w:after="0" w:line="253" w:lineRule="auto"/>
        <w:tabs>
          <w:tab w:leader="none" w:pos="33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380" w:right="80" w:hanging="350"/>
        <w:spacing w:after="0" w:line="250" w:lineRule="auto"/>
        <w:tabs>
          <w:tab w:leader="none" w:pos="32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740" w:right="100" w:hanging="354"/>
        <w:spacing w:after="0" w:line="250" w:lineRule="auto"/>
        <w:tabs>
          <w:tab w:leader="none" w:pos="75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380" w:right="600" w:hanging="350"/>
        <w:spacing w:after="0" w:line="253" w:lineRule="auto"/>
        <w:tabs>
          <w:tab w:leader="none" w:pos="32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740" w:right="220" w:hanging="354"/>
        <w:spacing w:after="0" w:line="253" w:lineRule="auto"/>
        <w:tabs>
          <w:tab w:leader="none" w:pos="7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3810</wp:posOffset>
            </wp:positionV>
            <wp:extent cx="278447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5">
                      <a:extLst>
                        <a:ext uri="{28A0092B-C50C-407E-A947-70E740481C1C}"/>
                      </a:extLst>
                    </a:blip>
                    <a:srcRect/>
                    <a:stretch>
                      <a:fillRect/>
                    </a:stretch>
                  </pic:blipFill>
                  <pic:spPr bwMode="auto">
                    <a:xfrm>
                      <a:off x="0" y="0"/>
                      <a:ext cx="2784475" cy="762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6"/>
          <w:szCs w:val="16"/>
          <w:b w:val="1"/>
          <w:bCs w:val="1"/>
          <w:color w:val="auto"/>
        </w:rPr>
        <w:t>Owen D. Thomas</w:t>
      </w:r>
    </w:p>
    <w:p>
      <w:pPr>
        <w:spacing w:after="0" w:line="25"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60"/>
          </w:cols>
          <w:pgMar w:left="320" w:top="1008"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6"/>
          <w:szCs w:val="16"/>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Michael E. LaBelle, certify that:</w:t>
      </w:r>
    </w:p>
    <w:p>
      <w:pPr>
        <w:spacing w:after="0" w:line="77" w:lineRule="exact"/>
        <w:rPr>
          <w:sz w:val="20"/>
          <w:szCs w:val="20"/>
          <w:color w:val="auto"/>
        </w:rPr>
      </w:pPr>
    </w:p>
    <w:p>
      <w:pPr>
        <w:ind w:left="340" w:hanging="310"/>
        <w:spacing w:after="0"/>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Inc.;</w:t>
      </w:r>
    </w:p>
    <w:p>
      <w:pPr>
        <w:spacing w:after="0" w:line="76" w:lineRule="exact"/>
        <w:rPr>
          <w:rFonts w:ascii="Arial" w:cs="Arial" w:eastAsia="Arial" w:hAnsi="Arial"/>
          <w:sz w:val="16"/>
          <w:szCs w:val="16"/>
          <w:color w:val="auto"/>
        </w:rPr>
      </w:pPr>
    </w:p>
    <w:p>
      <w:pPr>
        <w:ind w:left="380" w:right="180" w:hanging="350"/>
        <w:spacing w:after="0" w:line="286" w:lineRule="auto"/>
        <w:tabs>
          <w:tab w:leader="none" w:pos="33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380" w:right="220" w:hanging="350"/>
        <w:spacing w:after="0" w:line="253" w:lineRule="auto"/>
        <w:tabs>
          <w:tab w:leader="none" w:pos="3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380" w:right="80" w:hanging="350"/>
        <w:spacing w:after="0" w:line="250" w:lineRule="auto"/>
        <w:tabs>
          <w:tab w:leader="none" w:pos="32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740" w:right="100" w:hanging="354"/>
        <w:spacing w:after="0" w:line="250" w:lineRule="auto"/>
        <w:tabs>
          <w:tab w:leader="none" w:pos="75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380" w:right="600" w:hanging="350"/>
        <w:spacing w:after="0" w:line="253" w:lineRule="auto"/>
        <w:tabs>
          <w:tab w:leader="none" w:pos="32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740" w:right="220" w:hanging="354"/>
        <w:spacing w:after="0" w:line="253" w:lineRule="auto"/>
        <w:tabs>
          <w:tab w:leader="none" w:pos="74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6"/>
          <w:szCs w:val="16"/>
          <w:color w:val="auto"/>
        </w:rPr>
        <w:t>/s/</w:t>
        <w:tab/>
        <w:t>M</w:t>
      </w:r>
      <w:r>
        <w:rPr>
          <w:rFonts w:ascii="Arial" w:cs="Arial" w:eastAsia="Arial" w:hAnsi="Arial"/>
          <w:sz w:val="11"/>
          <w:szCs w:val="11"/>
          <w:color w:val="auto"/>
        </w:rPr>
        <w:t>ICHAEL</w:t>
      </w:r>
      <w:r>
        <w:rPr>
          <w:rFonts w:ascii="Arial" w:cs="Arial" w:eastAsia="Arial" w:hAnsi="Arial"/>
          <w:sz w:val="16"/>
          <w:szCs w:val="16"/>
          <w:color w:val="auto"/>
        </w:rPr>
        <w:t xml:space="preserve"> E. L</w:t>
      </w:r>
      <w:r>
        <w:rPr>
          <w:rFonts w:ascii="Arial" w:cs="Arial" w:eastAsia="Arial" w:hAnsi="Arial"/>
          <w:sz w:val="11"/>
          <w:szCs w:val="11"/>
          <w:color w:val="auto"/>
        </w:rPr>
        <w:t>A</w:t>
      </w:r>
      <w:r>
        <w:rPr>
          <w:rFonts w:ascii="Arial" w:cs="Arial" w:eastAsia="Arial" w:hAnsi="Arial"/>
          <w:sz w:val="16"/>
          <w:szCs w:val="16"/>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3810</wp:posOffset>
            </wp:positionV>
            <wp:extent cx="278447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6">
                      <a:extLst>
                        <a:ext uri="{28A0092B-C50C-407E-A947-70E740481C1C}"/>
                      </a:extLst>
                    </a:blip>
                    <a:srcRect/>
                    <a:stretch>
                      <a:fillRect/>
                    </a:stretch>
                  </pic:blipFill>
                  <pic:spPr bwMode="auto">
                    <a:xfrm>
                      <a:off x="0" y="0"/>
                      <a:ext cx="2784475" cy="762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6"/>
          <w:szCs w:val="16"/>
          <w:b w:val="1"/>
          <w:bCs w:val="1"/>
          <w:color w:val="auto"/>
        </w:rPr>
        <w:t>Michael E. LaBelle</w:t>
      </w:r>
    </w:p>
    <w:p>
      <w:pPr>
        <w:spacing w:after="0" w:line="25"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60"/>
          </w:cols>
          <w:pgMar w:left="320" w:top="937"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b w:val="1"/>
          <w:bCs w:val="1"/>
          <w:color w:val="auto"/>
        </w:rPr>
        <w:t>Exhibit 31.3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Owen D. Thomas, certify that:</w:t>
      </w:r>
    </w:p>
    <w:p>
      <w:pPr>
        <w:spacing w:after="0" w:line="77" w:lineRule="exact"/>
        <w:rPr>
          <w:sz w:val="20"/>
          <w:szCs w:val="20"/>
          <w:color w:val="auto"/>
        </w:rPr>
      </w:pPr>
    </w:p>
    <w:p>
      <w:pPr>
        <w:ind w:left="340" w:hanging="310"/>
        <w:spacing w:after="0"/>
        <w:tabs>
          <w:tab w:leader="none" w:pos="3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Limited Partnership;</w:t>
      </w:r>
    </w:p>
    <w:p>
      <w:pPr>
        <w:spacing w:after="0" w:line="76" w:lineRule="exact"/>
        <w:rPr>
          <w:rFonts w:ascii="Arial" w:cs="Arial" w:eastAsia="Arial" w:hAnsi="Arial"/>
          <w:sz w:val="16"/>
          <w:szCs w:val="16"/>
          <w:color w:val="auto"/>
        </w:rPr>
      </w:pPr>
    </w:p>
    <w:p>
      <w:pPr>
        <w:ind w:left="380" w:right="180" w:hanging="350"/>
        <w:spacing w:after="0" w:line="286" w:lineRule="auto"/>
        <w:tabs>
          <w:tab w:leader="none" w:pos="33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380" w:right="220" w:hanging="350"/>
        <w:spacing w:after="0" w:line="253" w:lineRule="auto"/>
        <w:tabs>
          <w:tab w:leader="none" w:pos="3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380" w:right="80" w:hanging="350"/>
        <w:spacing w:after="0" w:line="250" w:lineRule="auto"/>
        <w:tabs>
          <w:tab w:leader="none" w:pos="32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740" w:right="100" w:hanging="354"/>
        <w:spacing w:after="0" w:line="250" w:lineRule="auto"/>
        <w:tabs>
          <w:tab w:leader="none" w:pos="75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380" w:right="600" w:hanging="350"/>
        <w:spacing w:after="0" w:line="253" w:lineRule="auto"/>
        <w:tabs>
          <w:tab w:leader="none" w:pos="32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740" w:right="220" w:hanging="354"/>
        <w:spacing w:after="0" w:line="253" w:lineRule="auto"/>
        <w:tabs>
          <w:tab w:leader="none" w:pos="7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3810</wp:posOffset>
            </wp:positionV>
            <wp:extent cx="326580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7">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b w:val="1"/>
          <w:bCs w:val="1"/>
          <w:color w:val="auto"/>
        </w:rPr>
        <w:t>Owen D. Thomas</w:t>
      </w:r>
    </w:p>
    <w:p>
      <w:pPr>
        <w:jc w:val="center"/>
        <w:ind w:left="6120"/>
        <w:spacing w:after="0" w:line="212" w:lineRule="auto"/>
        <w:rPr>
          <w:sz w:val="20"/>
          <w:szCs w:val="20"/>
          <w:color w:val="auto"/>
        </w:rPr>
      </w:pPr>
      <w:r>
        <w:rPr>
          <w:rFonts w:ascii="Arial" w:cs="Arial" w:eastAsia="Arial" w:hAnsi="Arial"/>
          <w:sz w:val="14"/>
          <w:szCs w:val="14"/>
          <w:b w:val="1"/>
          <w:bCs w:val="1"/>
          <w:color w:val="auto"/>
        </w:rPr>
        <w:t>Chief Executive Officer of Boston Properties, Inc.</w:t>
      </w:r>
    </w:p>
    <w:p>
      <w:pPr>
        <w:jc w:val="center"/>
        <w:ind w:left="6100"/>
        <w:spacing w:after="0"/>
        <w:rPr>
          <w:sz w:val="20"/>
          <w:szCs w:val="20"/>
          <w:color w:val="auto"/>
        </w:rPr>
      </w:pPr>
      <w:r>
        <w:rPr>
          <w:rFonts w:ascii="Arial" w:cs="Arial" w:eastAsia="Arial" w:hAnsi="Arial"/>
          <w:sz w:val="14"/>
          <w:szCs w:val="14"/>
          <w:b w:val="1"/>
          <w:bCs w:val="1"/>
          <w:color w:val="auto"/>
        </w:rPr>
        <w:t>General Partner of Boston Properties Limited Partnership</w:t>
      </w:r>
    </w:p>
    <w:p>
      <w:pPr>
        <w:sectPr>
          <w:pgSz w:w="11900" w:h="16838" w:orient="portrait"/>
          <w:cols w:equalWidth="0" w:num="1">
            <w:col w:w="11260"/>
          </w:cols>
          <w:pgMar w:left="320" w:top="1008"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b w:val="1"/>
          <w:bCs w:val="1"/>
          <w:color w:val="auto"/>
        </w:rPr>
        <w:t>Exhibit 31.4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Michael E. LaBelle, certify that:</w:t>
      </w:r>
    </w:p>
    <w:p>
      <w:pPr>
        <w:spacing w:after="0" w:line="77" w:lineRule="exact"/>
        <w:rPr>
          <w:sz w:val="20"/>
          <w:szCs w:val="20"/>
          <w:color w:val="auto"/>
        </w:rPr>
      </w:pPr>
    </w:p>
    <w:p>
      <w:pPr>
        <w:ind w:left="340" w:hanging="310"/>
        <w:spacing w:after="0"/>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Limited Partnership;</w:t>
      </w:r>
    </w:p>
    <w:p>
      <w:pPr>
        <w:spacing w:after="0" w:line="76" w:lineRule="exact"/>
        <w:rPr>
          <w:rFonts w:ascii="Arial" w:cs="Arial" w:eastAsia="Arial" w:hAnsi="Arial"/>
          <w:sz w:val="16"/>
          <w:szCs w:val="16"/>
          <w:color w:val="auto"/>
        </w:rPr>
      </w:pPr>
    </w:p>
    <w:p>
      <w:pPr>
        <w:ind w:left="380" w:right="180" w:hanging="350"/>
        <w:spacing w:after="0" w:line="286" w:lineRule="auto"/>
        <w:tabs>
          <w:tab w:leader="none" w:pos="33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380" w:right="220" w:hanging="350"/>
        <w:spacing w:after="0" w:line="253" w:lineRule="auto"/>
        <w:tabs>
          <w:tab w:leader="none" w:pos="3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380" w:right="80" w:hanging="350"/>
        <w:spacing w:after="0" w:line="250" w:lineRule="auto"/>
        <w:tabs>
          <w:tab w:leader="none" w:pos="32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740" w:right="180" w:hanging="354"/>
        <w:spacing w:after="0" w:line="250" w:lineRule="auto"/>
        <w:tabs>
          <w:tab w:leader="none" w:pos="75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740" w:right="100" w:hanging="354"/>
        <w:spacing w:after="0" w:line="250" w:lineRule="auto"/>
        <w:tabs>
          <w:tab w:leader="none" w:pos="75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380" w:right="600" w:hanging="350"/>
        <w:spacing w:after="0" w:line="253" w:lineRule="auto"/>
        <w:tabs>
          <w:tab w:leader="none" w:pos="32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740" w:right="60" w:hanging="354"/>
        <w:spacing w:after="0" w:line="253" w:lineRule="auto"/>
        <w:tabs>
          <w:tab w:leader="none" w:pos="74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740" w:right="220" w:hanging="354"/>
        <w:spacing w:after="0" w:line="253" w:lineRule="auto"/>
        <w:tabs>
          <w:tab w:leader="none" w:pos="74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6"/>
          <w:szCs w:val="16"/>
          <w:color w:val="auto"/>
        </w:rPr>
        <w:t>/s/</w:t>
        <w:tab/>
        <w:t>M</w:t>
      </w:r>
      <w:r>
        <w:rPr>
          <w:rFonts w:ascii="Arial" w:cs="Arial" w:eastAsia="Arial" w:hAnsi="Arial"/>
          <w:sz w:val="11"/>
          <w:szCs w:val="11"/>
          <w:color w:val="auto"/>
        </w:rPr>
        <w:t>ICHAEL</w:t>
      </w:r>
      <w:r>
        <w:rPr>
          <w:rFonts w:ascii="Arial" w:cs="Arial" w:eastAsia="Arial" w:hAnsi="Arial"/>
          <w:sz w:val="16"/>
          <w:szCs w:val="16"/>
          <w:color w:val="auto"/>
        </w:rPr>
        <w:t xml:space="preserve"> E. L</w:t>
      </w:r>
      <w:r>
        <w:rPr>
          <w:rFonts w:ascii="Arial" w:cs="Arial" w:eastAsia="Arial" w:hAnsi="Arial"/>
          <w:sz w:val="11"/>
          <w:szCs w:val="11"/>
          <w:color w:val="auto"/>
        </w:rPr>
        <w:t>A</w:t>
      </w:r>
      <w:r>
        <w:rPr>
          <w:rFonts w:ascii="Arial" w:cs="Arial" w:eastAsia="Arial" w:hAnsi="Arial"/>
          <w:sz w:val="16"/>
          <w:szCs w:val="16"/>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3810</wp:posOffset>
            </wp:positionV>
            <wp:extent cx="322834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8">
                      <a:extLst>
                        <a:ext uri="{28A0092B-C50C-407E-A947-70E740481C1C}"/>
                      </a:extLst>
                    </a:blip>
                    <a:srcRect/>
                    <a:stretch>
                      <a:fillRect/>
                    </a:stretch>
                  </pic:blipFill>
                  <pic:spPr bwMode="auto">
                    <a:xfrm>
                      <a:off x="0" y="0"/>
                      <a:ext cx="3228340" cy="7620"/>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4"/>
          <w:szCs w:val="14"/>
          <w:b w:val="1"/>
          <w:bCs w:val="1"/>
          <w:color w:val="auto"/>
        </w:rPr>
        <w:t>Michael E. LaBelle</w:t>
      </w:r>
    </w:p>
    <w:p>
      <w:pPr>
        <w:jc w:val="center"/>
        <w:ind w:left="6160"/>
        <w:spacing w:after="0" w:line="212" w:lineRule="auto"/>
        <w:rPr>
          <w:sz w:val="20"/>
          <w:szCs w:val="20"/>
          <w:color w:val="auto"/>
        </w:rPr>
      </w:pPr>
      <w:r>
        <w:rPr>
          <w:rFonts w:ascii="Arial" w:cs="Arial" w:eastAsia="Arial" w:hAnsi="Arial"/>
          <w:sz w:val="14"/>
          <w:szCs w:val="14"/>
          <w:b w:val="1"/>
          <w:bCs w:val="1"/>
          <w:color w:val="auto"/>
        </w:rPr>
        <w:t>Chief Financial Officer of Boston Properties, Inc.</w:t>
      </w:r>
    </w:p>
    <w:p>
      <w:pPr>
        <w:jc w:val="center"/>
        <w:ind w:left="6160"/>
        <w:spacing w:after="0"/>
        <w:rPr>
          <w:sz w:val="20"/>
          <w:szCs w:val="20"/>
          <w:color w:val="auto"/>
        </w:rPr>
      </w:pPr>
      <w:r>
        <w:rPr>
          <w:rFonts w:ascii="Arial" w:cs="Arial" w:eastAsia="Arial" w:hAnsi="Arial"/>
          <w:sz w:val="14"/>
          <w:szCs w:val="14"/>
          <w:b w:val="1"/>
          <w:bCs w:val="1"/>
          <w:color w:val="auto"/>
        </w:rPr>
        <w:t>General Partner of Boston Properties Limited Partnership</w:t>
      </w:r>
    </w:p>
    <w:p>
      <w:pPr>
        <w:sectPr>
          <w:pgSz w:w="11900" w:h="16838" w:orient="portrait"/>
          <w:cols w:equalWidth="0" w:num="1">
            <w:col w:w="11260"/>
          </w:cols>
          <w:pgMar w:left="320" w:top="1008"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b w:val="1"/>
          <w:bCs w:val="1"/>
          <w:color w:val="auto"/>
        </w:rPr>
        <w:t>Exhibit 32.1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undersigned officer of Boston Properties, Inc. (the “Company”) hereby certifies to his knowledge that the Company’s Annual Report on Form 10-K for the period ended December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3810</wp:posOffset>
            </wp:positionV>
            <wp:extent cx="278447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9">
                      <a:extLst>
                        <a:ext uri="{28A0092B-C50C-407E-A947-70E740481C1C}"/>
                      </a:extLst>
                    </a:blip>
                    <a:srcRect/>
                    <a:stretch>
                      <a:fillRect/>
                    </a:stretch>
                  </pic:blipFill>
                  <pic:spPr bwMode="auto">
                    <a:xfrm>
                      <a:off x="0" y="0"/>
                      <a:ext cx="2784475" cy="762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6"/>
          <w:szCs w:val="16"/>
          <w:b w:val="1"/>
          <w:bCs w:val="1"/>
          <w:color w:val="auto"/>
        </w:rPr>
        <w:t>Owen D. Thomas</w:t>
      </w:r>
    </w:p>
    <w:p>
      <w:pPr>
        <w:spacing w:after="0" w:line="25"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60"/>
          </w:cols>
          <w:pgMar w:left="320" w:top="1221"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Exhibit 32.2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firstLine="391"/>
        <w:spacing w:after="0" w:line="248" w:lineRule="auto"/>
        <w:rPr>
          <w:sz w:val="20"/>
          <w:szCs w:val="20"/>
          <w:color w:val="auto"/>
        </w:rPr>
      </w:pPr>
      <w:r>
        <w:rPr>
          <w:rFonts w:ascii="Arial" w:cs="Arial" w:eastAsia="Arial" w:hAnsi="Arial"/>
          <w:sz w:val="16"/>
          <w:szCs w:val="16"/>
          <w:color w:val="auto"/>
        </w:rPr>
        <w:t>The undersigned officer of Boston Properties, Inc. (the “Company”) hereby certifies to his knowledge that the Company's Annual Report on Form 10-K for the period ended December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6"/>
          <w:szCs w:val="16"/>
          <w:color w:val="auto"/>
        </w:rPr>
        <w:t>/s/</w:t>
        <w:tab/>
        <w:t>M</w:t>
      </w:r>
      <w:r>
        <w:rPr>
          <w:rFonts w:ascii="Arial" w:cs="Arial" w:eastAsia="Arial" w:hAnsi="Arial"/>
          <w:sz w:val="11"/>
          <w:szCs w:val="11"/>
          <w:color w:val="auto"/>
        </w:rPr>
        <w:t>ICHAEL</w:t>
      </w:r>
      <w:r>
        <w:rPr>
          <w:rFonts w:ascii="Arial" w:cs="Arial" w:eastAsia="Arial" w:hAnsi="Arial"/>
          <w:sz w:val="16"/>
          <w:szCs w:val="16"/>
          <w:color w:val="auto"/>
        </w:rPr>
        <w:t xml:space="preserve"> E. L</w:t>
      </w:r>
      <w:r>
        <w:rPr>
          <w:rFonts w:ascii="Arial" w:cs="Arial" w:eastAsia="Arial" w:hAnsi="Arial"/>
          <w:sz w:val="11"/>
          <w:szCs w:val="11"/>
          <w:color w:val="auto"/>
        </w:rPr>
        <w:t>A</w:t>
      </w:r>
      <w:r>
        <w:rPr>
          <w:rFonts w:ascii="Arial" w:cs="Arial" w:eastAsia="Arial" w:hAnsi="Arial"/>
          <w:sz w:val="16"/>
          <w:szCs w:val="16"/>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3810</wp:posOffset>
            </wp:positionV>
            <wp:extent cx="278447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0">
                      <a:extLst>
                        <a:ext uri="{28A0092B-C50C-407E-A947-70E740481C1C}"/>
                      </a:extLst>
                    </a:blip>
                    <a:srcRect/>
                    <a:stretch>
                      <a:fillRect/>
                    </a:stretch>
                  </pic:blipFill>
                  <pic:spPr bwMode="auto">
                    <a:xfrm>
                      <a:off x="0" y="0"/>
                      <a:ext cx="2784475" cy="762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6"/>
          <w:szCs w:val="16"/>
          <w:b w:val="1"/>
          <w:bCs w:val="1"/>
          <w:color w:val="auto"/>
        </w:rPr>
        <w:t>Michael E. LaBelle</w:t>
      </w:r>
    </w:p>
    <w:p>
      <w:pPr>
        <w:spacing w:after="0" w:line="25"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60"/>
          </w:cols>
          <w:pgMar w:left="320" w:top="1221"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b w:val="1"/>
          <w:bCs w:val="1"/>
          <w:color w:val="auto"/>
        </w:rPr>
        <w:t>Exhibit 32.3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right="40" w:firstLine="391"/>
        <w:spacing w:after="0" w:line="268" w:lineRule="auto"/>
        <w:rPr>
          <w:sz w:val="20"/>
          <w:szCs w:val="20"/>
          <w:color w:val="auto"/>
        </w:rPr>
      </w:pPr>
      <w:r>
        <w:rPr>
          <w:rFonts w:ascii="Arial" w:cs="Arial" w:eastAsia="Arial" w:hAnsi="Arial"/>
          <w:sz w:val="15"/>
          <w:szCs w:val="15"/>
          <w:color w:val="auto"/>
        </w:rPr>
        <w:t>The undersigned officer of Boston Properties, Inc., the sole general partner of Boston Properties Limited Partnership (the “Operating Partnership”), hereby certifies to his knowledge that the Operating Partnership's Annual Report on Form 10-K for the period ended December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780"/>
        <w:spacing w:after="0"/>
        <w:tabs>
          <w:tab w:leader="none" w:pos="810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3810</wp:posOffset>
            </wp:positionV>
            <wp:extent cx="326580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1">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b w:val="1"/>
          <w:bCs w:val="1"/>
          <w:color w:val="auto"/>
        </w:rPr>
        <w:t>Owen D. Thomas</w:t>
      </w:r>
    </w:p>
    <w:p>
      <w:pPr>
        <w:jc w:val="center"/>
        <w:ind w:left="6120"/>
        <w:spacing w:after="0" w:line="211" w:lineRule="auto"/>
        <w:rPr>
          <w:sz w:val="20"/>
          <w:szCs w:val="20"/>
          <w:color w:val="auto"/>
        </w:rPr>
      </w:pPr>
      <w:r>
        <w:rPr>
          <w:rFonts w:ascii="Arial" w:cs="Arial" w:eastAsia="Arial" w:hAnsi="Arial"/>
          <w:sz w:val="14"/>
          <w:szCs w:val="14"/>
          <w:b w:val="1"/>
          <w:bCs w:val="1"/>
          <w:color w:val="auto"/>
        </w:rPr>
        <w:t>Chief Executive Officer of Boston Properties, Inc.</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General Partner of Boston Properties Limited Partnership</w:t>
      </w:r>
    </w:p>
    <w:p>
      <w:pPr>
        <w:sectPr>
          <w:pgSz w:w="11900" w:h="16838" w:orient="portrait"/>
          <w:cols w:equalWidth="0" w:num="1">
            <w:col w:w="11260"/>
          </w:cols>
          <w:pgMar w:left="320" w:top="1174"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6"/>
          <w:szCs w:val="16"/>
          <w:b w:val="1"/>
          <w:bCs w:val="1"/>
          <w:color w:val="auto"/>
        </w:rPr>
        <w:t>Exhibit 32.4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right="40" w:firstLine="391"/>
        <w:spacing w:after="0" w:line="268" w:lineRule="auto"/>
        <w:rPr>
          <w:sz w:val="20"/>
          <w:szCs w:val="20"/>
          <w:color w:val="auto"/>
        </w:rPr>
      </w:pPr>
      <w:r>
        <w:rPr>
          <w:rFonts w:ascii="Arial" w:cs="Arial" w:eastAsia="Arial" w:hAnsi="Arial"/>
          <w:sz w:val="15"/>
          <w:szCs w:val="15"/>
          <w:color w:val="auto"/>
        </w:rPr>
        <w:t>The undersigned officer of Boston Properties, Inc., the sole general partner of Boston Properties Limited Partnership (the “Operating Partnership”), hereby certifies to his knowledge that the Operating Partnership’s Annual Report on Form 10-K for the period ended December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740"/>
        <w:spacing w:after="0"/>
        <w:tabs>
          <w:tab w:leader="none" w:pos="8060" w:val="left"/>
        </w:tabs>
        <w:rPr>
          <w:sz w:val="20"/>
          <w:szCs w:val="20"/>
          <w:color w:val="auto"/>
        </w:rPr>
      </w:pPr>
      <w:r>
        <w:rPr>
          <w:rFonts w:ascii="Arial" w:cs="Arial" w:eastAsia="Arial" w:hAnsi="Arial"/>
          <w:sz w:val="16"/>
          <w:szCs w:val="16"/>
          <w:color w:val="auto"/>
        </w:rPr>
        <w:t>/s/</w:t>
        <w:tab/>
        <w:t>M</w:t>
      </w:r>
      <w:r>
        <w:rPr>
          <w:rFonts w:ascii="Arial" w:cs="Arial" w:eastAsia="Arial" w:hAnsi="Arial"/>
          <w:sz w:val="11"/>
          <w:szCs w:val="11"/>
          <w:color w:val="auto"/>
        </w:rPr>
        <w:t>ICHAEL</w:t>
      </w:r>
      <w:r>
        <w:rPr>
          <w:rFonts w:ascii="Arial" w:cs="Arial" w:eastAsia="Arial" w:hAnsi="Arial"/>
          <w:sz w:val="16"/>
          <w:szCs w:val="16"/>
          <w:color w:val="auto"/>
        </w:rPr>
        <w:t xml:space="preserve"> E. L</w:t>
      </w:r>
      <w:r>
        <w:rPr>
          <w:rFonts w:ascii="Arial" w:cs="Arial" w:eastAsia="Arial" w:hAnsi="Arial"/>
          <w:sz w:val="11"/>
          <w:szCs w:val="11"/>
          <w:color w:val="auto"/>
        </w:rPr>
        <w:t>A</w:t>
      </w:r>
      <w:r>
        <w:rPr>
          <w:rFonts w:ascii="Arial" w:cs="Arial" w:eastAsia="Arial" w:hAnsi="Arial"/>
          <w:sz w:val="16"/>
          <w:szCs w:val="16"/>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3810</wp:posOffset>
            </wp:positionV>
            <wp:extent cx="32658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2">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b w:val="1"/>
          <w:bCs w:val="1"/>
          <w:color w:val="auto"/>
        </w:rPr>
        <w:t>Michael E. LaBelle</w:t>
      </w:r>
    </w:p>
    <w:p>
      <w:pPr>
        <w:jc w:val="center"/>
        <w:ind w:left="6100"/>
        <w:spacing w:after="0" w:line="211" w:lineRule="auto"/>
        <w:rPr>
          <w:sz w:val="20"/>
          <w:szCs w:val="20"/>
          <w:color w:val="auto"/>
        </w:rPr>
      </w:pPr>
      <w:r>
        <w:rPr>
          <w:rFonts w:ascii="Arial" w:cs="Arial" w:eastAsia="Arial" w:hAnsi="Arial"/>
          <w:sz w:val="14"/>
          <w:szCs w:val="14"/>
          <w:b w:val="1"/>
          <w:bCs w:val="1"/>
          <w:color w:val="auto"/>
        </w:rPr>
        <w:t>Chief Financial Officer of Boston Properties, Inc.</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General Partner of Boston Properties Limited Partnership</w:t>
      </w:r>
    </w:p>
    <w:sectPr>
      <w:pgSz w:w="11900" w:h="16838" w:orient="portrait"/>
      <w:cols w:equalWidth="0" w:num="1">
        <w:col w:w="11260"/>
      </w:cols>
      <w:pgMar w:left="320" w:top="11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F5E7FD0"/>
    <w:multiLevelType w:val="hybridMultilevel"/>
    <w:lvl w:ilvl="0">
      <w:lvlJc w:val="left"/>
      <w:lvlText w:val="%1."/>
      <w:numFmt w:val="decimal"/>
      <w:start w:val="5"/>
    </w:lvl>
  </w:abstractNum>
  <w:abstractNum w:abstractNumId="5">
    <w:nsid w:val="98A3148"/>
    <w:multiLevelType w:val="hybridMultilevel"/>
    <w:lvl w:ilvl="0">
      <w:lvlJc w:val="left"/>
      <w:lvlText w:val="•"/>
      <w:numFmt w:val="bullet"/>
      <w:start w:val="1"/>
    </w:lvl>
    <w:lvl w:ilvl="1">
      <w:lvlJc w:val="left"/>
      <w:lvlText w:val="◦"/>
      <w:numFmt w:val="bullet"/>
      <w:start w:val="1"/>
    </w:lvl>
  </w:abstractNum>
  <w:abstractNum w:abstractNumId="6">
    <w:nsid w:val="799D0247"/>
    <w:multiLevelType w:val="hybridMultilevel"/>
    <w:lvl w:ilvl="0">
      <w:lvlJc w:val="left"/>
      <w:lvlText w:val="•"/>
      <w:numFmt w:val="bullet"/>
      <w:start w:val="1"/>
    </w:lvl>
    <w:lvl w:ilvl="1">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1)"/>
      <w:numFmt w:val="lowerLetter"/>
      <w:start w:val="25"/>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1)"/>
      <w:numFmt w:val="decimal"/>
      <w:start w:val="5"/>
    </w:lvl>
  </w:abstractNum>
  <w:abstractNum w:abstractNumId="17">
    <w:nsid w:val="BF72B14"/>
    <w:multiLevelType w:val="hybridMultilevel"/>
    <w:lvl w:ilvl="0">
      <w:lvlJc w:val="left"/>
      <w:lvlText w:val="Ø"/>
      <w:numFmt w:val="bullet"/>
      <w:start w:val="1"/>
    </w:lvl>
  </w:abstractNum>
  <w:abstractNum w:abstractNumId="18">
    <w:nsid w:val="11447B73"/>
    <w:multiLevelType w:val="hybridMultilevel"/>
    <w:lvl w:ilvl="0">
      <w:lvlJc w:val="left"/>
      <w:lvlText w:val="Ø"/>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1)"/>
      <w:numFmt w:val="decimal"/>
      <w:start w:val="1"/>
    </w:lvl>
  </w:abstractNum>
  <w:abstractNum w:abstractNumId="21">
    <w:nsid w:val="8F2B15E"/>
    <w:multiLevelType w:val="hybridMultilevel"/>
    <w:lvl w:ilvl="0">
      <w:lvlJc w:val="left"/>
      <w:lvlText w:val="•"/>
      <w:numFmt w:val="bullet"/>
      <w:start w:val="1"/>
    </w:lvl>
    <w:lvl w:ilvl="1">
      <w:lvlJc w:val="left"/>
      <w:lvlText w:val="◦"/>
      <w:numFmt w:val="bullet"/>
      <w:start w:val="1"/>
    </w:lvl>
  </w:abstractNum>
  <w:abstractNum w:abstractNumId="22">
    <w:nsid w:val="1A32234B"/>
    <w:multiLevelType w:val="hybridMultilevel"/>
    <w:lvl w:ilvl="0">
      <w:lvlJc w:val="left"/>
      <w:lvlText w:val="•"/>
      <w:numFmt w:val="bullet"/>
      <w:start w:val="1"/>
    </w:lvl>
    <w:lvl w:ilvl="1">
      <w:lvlJc w:val="left"/>
      <w:lvlText w:val="◦"/>
      <w:numFmt w:val="bullet"/>
      <w:start w:val="1"/>
    </w:lvl>
  </w:abstractNum>
  <w:abstractNum w:abstractNumId="23">
    <w:nsid w:val="3B0FD379"/>
    <w:multiLevelType w:val="hybridMultilevel"/>
    <w:lvl w:ilvl="0">
      <w:lvlJc w:val="left"/>
      <w:lvlText w:val="(%1)"/>
      <w:numFmt w:val="decimal"/>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lvl w:ilvl="1">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decimal"/>
      <w:start w:val="1"/>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1"/>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decimal"/>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1)"/>
      <w:numFmt w:val="decimal"/>
      <w:start w:val="1"/>
    </w:lvl>
  </w:abstractNum>
  <w:abstractNum w:abstractNumId="66">
    <w:nsid w:val="5F3534A4"/>
    <w:multiLevelType w:val="hybridMultilevel"/>
    <w:lvl w:ilvl="0">
      <w:lvlJc w:val="left"/>
      <w:lvlText w:val="(%1)"/>
      <w:numFmt w:val="decimal"/>
      <w:start w:val="9"/>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1)"/>
      <w:numFmt w:val="decimal"/>
      <w:start w:val="1"/>
    </w:lvl>
  </w:abstractNum>
  <w:abstractNum w:abstractNumId="73">
    <w:nsid w:val="71C91298"/>
    <w:multiLevelType w:val="hybridMultilevel"/>
    <w:lvl w:ilvl="0">
      <w:lvlJc w:val="left"/>
      <w:lvlText w:val="(%1)"/>
      <w:numFmt w:val="decimal"/>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1)"/>
      <w:numFmt w:val="decimal"/>
      <w:start w:val="1"/>
    </w:lvl>
  </w:abstractNum>
  <w:abstractNum w:abstractNumId="76">
    <w:nsid w:val="1FBFE8E0"/>
    <w:multiLevelType w:val="hybridMultilevel"/>
    <w:lvl w:ilvl="0">
      <w:lvlJc w:val="left"/>
      <w:lvlText w:val="(%1)"/>
      <w:numFmt w:val="decimal"/>
      <w:start w:val="1"/>
    </w:lvl>
  </w:abstractNum>
  <w:abstractNum w:abstractNumId="77">
    <w:nsid w:val="5092CA79"/>
    <w:multiLevelType w:val="hybridMultilevel"/>
    <w:lvl w:ilvl="0">
      <w:lvlJc w:val="left"/>
      <w:lvlText w:val="(%1)"/>
      <w:numFmt w:val="decimal"/>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1)"/>
      <w:numFmt w:val="decimal"/>
      <w:start w:val="1"/>
    </w:lvl>
  </w:abstractNum>
  <w:abstractNum w:abstractNumId="84">
    <w:nsid w:val="51088277"/>
    <w:multiLevelType w:val="hybridMultilevel"/>
    <w:lvl w:ilvl="0">
      <w:lvlJc w:val="left"/>
      <w:lvlText w:val="(%1)"/>
      <w:numFmt w:val="decimal"/>
      <w:start w:val="4"/>
    </w:lvl>
  </w:abstractNum>
  <w:abstractNum w:abstractNumId="85">
    <w:nsid w:val="1CA0C5FA"/>
    <w:multiLevelType w:val="hybridMultilevel"/>
    <w:lvl w:ilvl="0">
      <w:lvlJc w:val="left"/>
      <w:lvlText w:val="(%1)"/>
      <w:numFmt w:val="decimal"/>
      <w:start w:val="1"/>
    </w:lvl>
  </w:abstractNum>
  <w:abstractNum w:abstractNumId="86">
    <w:nsid w:val="53584BCB"/>
    <w:multiLevelType w:val="hybridMultilevel"/>
    <w:lvl w:ilvl="0">
      <w:lvlJc w:val="left"/>
      <w:lvlText w:val="(%1)"/>
      <w:numFmt w:val="decimal"/>
      <w:start w:val="1"/>
    </w:lvl>
  </w:abstractNum>
  <w:abstractNum w:abstractNumId="87">
    <w:nsid w:val="415E286C"/>
    <w:multiLevelType w:val="hybridMultilevel"/>
    <w:lvl w:ilvl="0">
      <w:lvlJc w:val="left"/>
      <w:lvlText w:val="(%1)"/>
      <w:numFmt w:val="lowerRoman"/>
      <w:start w:val="1"/>
    </w:lvl>
  </w:abstractNum>
  <w:abstractNum w:abstractNumId="88">
    <w:nsid w:val="7C58FD05"/>
    <w:multiLevelType w:val="hybridMultilevel"/>
    <w:lvl w:ilvl="0">
      <w:lvlJc w:val="left"/>
      <w:lvlText w:val="(%1)"/>
      <w:numFmt w:val="decimal"/>
      <w:start w:val="1"/>
    </w:lvl>
  </w:abstractNum>
  <w:abstractNum w:abstractNumId="89">
    <w:nsid w:val="23D86AAC"/>
    <w:multiLevelType w:val="hybridMultilevel"/>
    <w:lvl w:ilvl="0">
      <w:lvlJc w:val="left"/>
      <w:lvlText w:val="(%1)"/>
      <w:numFmt w:val="decimal"/>
      <w:start w:val="1"/>
    </w:lvl>
  </w:abstractNum>
  <w:abstractNum w:abstractNumId="90">
    <w:nsid w:val="45E6D486"/>
    <w:multiLevelType w:val="hybridMultilevel"/>
    <w:lvl w:ilvl="0">
      <w:lvlJc w:val="left"/>
      <w:lvlText w:val="(%1)"/>
      <w:numFmt w:val="decimal"/>
      <w:start w:val="1"/>
    </w:lvl>
  </w:abstractNum>
  <w:abstractNum w:abstractNumId="91">
    <w:nsid w:val="5C10FE21"/>
    <w:multiLevelType w:val="hybridMultilevel"/>
    <w:lvl w:ilvl="0">
      <w:lvlJc w:val="left"/>
      <w:lvlText w:val="(%1)"/>
      <w:numFmt w:val="decimal"/>
      <w:start w:val="8"/>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1)"/>
      <w:numFmt w:val="decimal"/>
      <w:start w:val="1"/>
    </w:lvl>
  </w:abstractNum>
  <w:abstractNum w:abstractNumId="94">
    <w:nsid w:val="4BD8591A"/>
    <w:multiLevelType w:val="hybridMultilevel"/>
    <w:lvl w:ilvl="0">
      <w:lvlJc w:val="left"/>
      <w:lvlText w:val="(%1)"/>
      <w:numFmt w:val="decimal"/>
      <w:start w:val="1"/>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1)"/>
      <w:numFmt w:val="decimal"/>
      <w:start w:val="2"/>
    </w:lvl>
  </w:abstractNum>
  <w:abstractNum w:abstractNumId="97">
    <w:nsid w:val="2B0D8DBE"/>
    <w:multiLevelType w:val="hybridMultilevel"/>
    <w:lvl w:ilvl="0">
      <w:lvlJc w:val="left"/>
      <w:lvlText w:val="(%1)"/>
      <w:numFmt w:val="decimal"/>
      <w:start w:val="1"/>
    </w:lvl>
  </w:abstractNum>
  <w:abstractNum w:abstractNumId="98">
    <w:nsid w:val="6C80EC70"/>
    <w:multiLevelType w:val="hybridMultilevel"/>
    <w:lvl w:ilvl="0">
      <w:lvlJc w:val="left"/>
      <w:lvlText w:val="(%1)"/>
      <w:numFmt w:val="decimal"/>
      <w:start w:val="1"/>
    </w:lvl>
  </w:abstractNum>
  <w:abstractNum w:abstractNumId="99">
    <w:nsid w:val="379E21B5"/>
    <w:multiLevelType w:val="hybridMultilevel"/>
    <w:lvl w:ilvl="0">
      <w:lvlJc w:val="left"/>
      <w:lvlText w:val="(%1)"/>
      <w:numFmt w:val="lowerRoman"/>
      <w:start w:val="2"/>
    </w:lvl>
  </w:abstractNum>
  <w:abstractNum w:abstractNumId="100">
    <w:nsid w:val="69E373"/>
    <w:multiLevelType w:val="hybridMultilevel"/>
    <w:lvl w:ilvl="0">
      <w:lvlJc w:val="left"/>
      <w:lvlText w:val="(%1)"/>
      <w:numFmt w:val="lowerRoman"/>
      <w:start w:val="3"/>
    </w:lvl>
  </w:abstractNum>
  <w:abstractNum w:abstractNumId="101">
    <w:nsid w:val="2C27173B"/>
    <w:multiLevelType w:val="hybridMultilevel"/>
    <w:lvl w:ilvl="0">
      <w:lvlJc w:val="left"/>
      <w:lvlText w:val="(%1)"/>
      <w:numFmt w:val="lowerRoman"/>
      <w:start w:val="5"/>
    </w:lvl>
  </w:abstractNum>
  <w:abstractNum w:abstractNumId="102">
    <w:nsid w:val="4C9B0904"/>
    <w:multiLevelType w:val="hybridMultilevel"/>
    <w:lvl w:ilvl="0">
      <w:lvlJc w:val="left"/>
      <w:lvlText w:val="(%1)"/>
      <w:numFmt w:val="lowerRoman"/>
      <w:start w:val="2"/>
    </w:lvl>
  </w:abstractNum>
  <w:abstractNum w:abstractNumId="103">
    <w:nsid w:val="6AA7B75C"/>
    <w:multiLevelType w:val="hybridMultilevel"/>
    <w:lvl w:ilvl="0">
      <w:lvlJc w:val="left"/>
      <w:lvlText w:val="(%1)"/>
      <w:numFmt w:val="lowerRoman"/>
      <w:start w:val="5"/>
    </w:lvl>
  </w:abstractNum>
  <w:abstractNum w:abstractNumId="104">
    <w:nsid w:val="1DF029D3"/>
    <w:multiLevelType w:val="hybridMultilevel"/>
    <w:lvl w:ilvl="0">
      <w:lvlJc w:val="left"/>
      <w:lvlText w:val="(%1)"/>
      <w:numFmt w:val="decimal"/>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1)"/>
      <w:numFmt w:val="decimal"/>
      <w:start w:val="1"/>
    </w:lvl>
  </w:abstractNum>
  <w:abstractNum w:abstractNumId="111">
    <w:nsid w:val="4F97E3E4"/>
    <w:multiLevelType w:val="hybridMultilevel"/>
    <w:lvl w:ilvl="0">
      <w:lvlJc w:val="left"/>
      <w:lvlText w:val="(%1)"/>
      <w:numFmt w:val="decimal"/>
      <w:start w:val="1"/>
    </w:lvl>
  </w:abstractNum>
  <w:abstractNum w:abstractNumId="112">
    <w:nsid w:val="53B0A9E"/>
    <w:multiLevelType w:val="hybridMultilevel"/>
    <w:lvl w:ilvl="0">
      <w:lvlJc w:val="left"/>
      <w:lvlText w:val="(%1)"/>
      <w:numFmt w:val="decimal"/>
      <w:start w:val="1"/>
    </w:lvl>
  </w:abstractNum>
  <w:abstractNum w:abstractNumId="113">
    <w:nsid w:val="34FD6B4F"/>
    <w:multiLevelType w:val="hybridMultilevel"/>
    <w:lvl w:ilvl="0">
      <w:lvlJc w:val="left"/>
      <w:lvlText w:val="(%1)"/>
      <w:numFmt w:val="decimal"/>
      <w:start w:val="10"/>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4"/>
    </w:lvl>
  </w:abstractNum>
  <w:abstractNum w:abstractNumId="116">
    <w:nsid w:val="519E3149"/>
    <w:multiLevelType w:val="hybridMultilevel"/>
    <w:lvl w:ilvl="0">
      <w:lvlJc w:val="left"/>
      <w:lvlText w:val="(%1)"/>
      <w:numFmt w:val="decimal"/>
      <w:start w:val="1"/>
    </w:lvl>
  </w:abstractNum>
  <w:abstractNum w:abstractNumId="117">
    <w:nsid w:val="2C6E4AFD"/>
    <w:multiLevelType w:val="hybridMultilevel"/>
    <w:lvl w:ilvl="0">
      <w:lvlJc w:val="left"/>
      <w:lvlText w:val="%1."/>
      <w:numFmt w:val="decimal"/>
      <w:start w:val="7"/>
    </w:lvl>
  </w:abstractNum>
  <w:abstractNum w:abstractNumId="118">
    <w:nsid w:val="17A1B582"/>
    <w:multiLevelType w:val="hybridMultilevel"/>
    <w:lvl w:ilvl="0">
      <w:lvlJc w:val="left"/>
      <w:lvlText w:val="(%1)"/>
      <w:numFmt w:val="decimal"/>
      <w:start w:val="1"/>
    </w:lvl>
  </w:abstractNum>
  <w:abstractNum w:abstractNumId="119">
    <w:nsid w:val="4DF72E4E"/>
    <w:multiLevelType w:val="hybridMultilevel"/>
    <w:lvl w:ilvl="0">
      <w:lvlJc w:val="left"/>
      <w:lvlText w:val="%"/>
      <w:numFmt w:val="bullet"/>
      <w:start w:val="1"/>
    </w:lvl>
  </w:abstractNum>
  <w:abstractNum w:abstractNumId="120">
    <w:nsid w:val="5046B5A9"/>
    <w:multiLevelType w:val="hybridMultilevel"/>
    <w:lvl w:ilvl="0">
      <w:lvlJc w:val="left"/>
      <w:lvlText w:val="(%1)"/>
      <w:numFmt w:val="decimal"/>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1)"/>
      <w:numFmt w:val="decimal"/>
      <w:start w:val="1"/>
    </w:lvl>
  </w:abstractNum>
  <w:abstractNum w:abstractNumId="123">
    <w:nsid w:val="5EC6AFD4"/>
    <w:multiLevelType w:val="hybridMultilevel"/>
    <w:lvl w:ilvl="0">
      <w:lvlJc w:val="left"/>
      <w:lvlText w:val="%1"/>
      <w:numFmt w:val="decimal"/>
      <w:start w:val="1"/>
    </w:lvl>
    <w:lvl w:ilvl="1">
      <w:lvlJc w:val="left"/>
      <w:lvlText w:val="(%2)"/>
      <w:numFmt w:val="decimal"/>
      <w:start w:val="1"/>
    </w:lvl>
  </w:abstractNum>
  <w:abstractNum w:abstractNumId="124">
    <w:nsid w:val="19E21BB2"/>
    <w:multiLevelType w:val="hybridMultilevel"/>
    <w:lvl w:ilvl="0">
      <w:lvlJc w:val="left"/>
      <w:lvlText w:val="%1."/>
      <w:numFmt w:val="decimal"/>
      <w:start w:val="12"/>
    </w:lvl>
    <w:lvl w:ilvl="1">
      <w:lvlJc w:val="left"/>
      <w:lvlText w:val="%2"/>
      <w:numFmt w:val="decimal"/>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1)"/>
      <w:numFmt w:val="decimal"/>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2"/>
    </w:lvl>
  </w:abstractNum>
  <w:abstractNum w:abstractNumId="130">
    <w:nsid w:val="B37E80A"/>
    <w:multiLevelType w:val="hybridMultilevel"/>
    <w:lvl w:ilvl="0">
      <w:lvlJc w:val="left"/>
      <w:lvlText w:val="*"/>
      <w:numFmt w:val="bullet"/>
      <w:start w:val="1"/>
    </w:lvl>
    <w:lvl w:ilvl="1">
      <w:lvlJc w:val="left"/>
      <w:lvlText w:val="%2"/>
      <w:numFmt w:val="decimal"/>
      <w:start w:val="104"/>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70" Type="http://schemas.openxmlformats.org/officeDocument/2006/relationships/image" Target="media/image247.png"/><Relationship Id="rId284" Type="http://schemas.openxmlformats.org/officeDocument/2006/relationships/image" Target="media/image248.png"/><Relationship Id="rId303" Type="http://schemas.openxmlformats.org/officeDocument/2006/relationships/image" Target="media/image249.png"/><Relationship Id="rId323" Type="http://schemas.openxmlformats.org/officeDocument/2006/relationships/image" Target="media/image250.png"/><Relationship Id="rId327" Type="http://schemas.openxmlformats.org/officeDocument/2006/relationships/image" Target="media/image251.png"/><Relationship Id="rId328" Type="http://schemas.openxmlformats.org/officeDocument/2006/relationships/image" Target="media/image252.png"/><Relationship Id="rId329" Type="http://schemas.openxmlformats.org/officeDocument/2006/relationships/image" Target="media/image253.png"/><Relationship Id="rId330" Type="http://schemas.openxmlformats.org/officeDocument/2006/relationships/image" Target="media/image254.png"/><Relationship Id="rId331" Type="http://schemas.openxmlformats.org/officeDocument/2006/relationships/image" Target="media/image255.png"/><Relationship Id="rId332" Type="http://schemas.openxmlformats.org/officeDocument/2006/relationships/image" Target="media/image256.png"/><Relationship Id="rId333" Type="http://schemas.openxmlformats.org/officeDocument/2006/relationships/image" Target="media/image257.png"/><Relationship Id="rId334" Type="http://schemas.openxmlformats.org/officeDocument/2006/relationships/image" Target="media/image258.png"/><Relationship Id="rId335" Type="http://schemas.openxmlformats.org/officeDocument/2006/relationships/image" Target="media/image259.png"/><Relationship Id="rId336" Type="http://schemas.openxmlformats.org/officeDocument/2006/relationships/image" Target="media/image260.png"/><Relationship Id="rId337" Type="http://schemas.openxmlformats.org/officeDocument/2006/relationships/image" Target="media/image261.png"/><Relationship Id="rId338" Type="http://schemas.openxmlformats.org/officeDocument/2006/relationships/image" Target="media/image262.png"/><Relationship Id="rId339" Type="http://schemas.openxmlformats.org/officeDocument/2006/relationships/image" Target="media/image263.png"/><Relationship Id="rId340" Type="http://schemas.openxmlformats.org/officeDocument/2006/relationships/image" Target="media/image264.png"/><Relationship Id="rId341" Type="http://schemas.openxmlformats.org/officeDocument/2006/relationships/image" Target="media/image265.png"/><Relationship Id="rId342" Type="http://schemas.openxmlformats.org/officeDocument/2006/relationships/image" Target="media/image266.png"/><Relationship Id="rId254" Type="http://schemas.openxmlformats.org/officeDocument/2006/relationships/hyperlink" Target="http://www.sec.gov/Archives/edgar/data/1037540/000119312513244368/d548944dex21.htm" TargetMode="External"/><Relationship Id="rId255" Type="http://schemas.openxmlformats.org/officeDocument/2006/relationships/hyperlink" Target="http://www.sec.gov/Archives/edgar/data/1043121/000119312514345078/d791594dex21.htm" TargetMode="External"/><Relationship Id="rId256" Type="http://schemas.openxmlformats.org/officeDocument/2006/relationships/hyperlink" Target="http://www.sec.gov/Archives/edgar/data/1037540/0000950109-97-004276.txt" TargetMode="External"/><Relationship Id="rId257" Type="http://schemas.openxmlformats.org/officeDocument/2006/relationships/hyperlink" Target="http://www.sec.gov/Archives/edgar/data/1037540/000119312507137703/dex31.htm" TargetMode="External"/><Relationship Id="rId258" Type="http://schemas.openxmlformats.org/officeDocument/2006/relationships/hyperlink" Target="http://www.sec.gov/Archives/edgar/data/1037540/000119312510124945/dex31.htm" TargetMode="External"/><Relationship Id="rId259" Type="http://schemas.openxmlformats.org/officeDocument/2006/relationships/hyperlink" Target="http://www.sec.gov/Archives/edgar/data/1037540/000119312513122026/d508283dex33.htm" TargetMode="External"/><Relationship Id="rId260" Type="http://schemas.openxmlformats.org/officeDocument/2006/relationships/hyperlink" Target="http://www.sec.gov/Archives/edgar/data/1037540/000119312516595345/d180369dex31.htm" TargetMode="External"/><Relationship Id="rId261" Type="http://schemas.openxmlformats.org/officeDocument/2006/relationships/hyperlink" Target="http://www.sec.gov/Archives/edgar/data/1037540/000165642320000010/bxpandbplpex31.htm" TargetMode="External"/><Relationship Id="rId262" Type="http://schemas.openxmlformats.org/officeDocument/2006/relationships/hyperlink" Target="http://www.sec.gov/Archives/edgar/data/1037540/0000927016-98-004141.txt" TargetMode="External"/><Relationship Id="rId263" Type="http://schemas.openxmlformats.org/officeDocument/2006/relationships/hyperlink" Target="http://www.sec.gov/Archives/edgar/data/1037540/0000927016-97-001694.txt" TargetMode="External"/><Relationship Id="rId264" Type="http://schemas.openxmlformats.org/officeDocument/2006/relationships/hyperlink" Target="http://www.sec.gov/Archives/edgar/data/1037540/000165642322000013/bxp-20211231ex42.htm" TargetMode="External"/><Relationship Id="rId265" Type="http://schemas.openxmlformats.org/officeDocument/2006/relationships/hyperlink" Target="http://www.sec.gov/Archives/edgar/data/1037540/000104746902006947/a2096232zex-4_1.txt" TargetMode="External"/><Relationship Id="rId266" Type="http://schemas.openxmlformats.org/officeDocument/2006/relationships/hyperlink" Target="http://www.sec.gov/Archives/edgar/data/1043121/000119312513150768/d519869dex41.htm" TargetMode="External"/><Relationship Id="rId267" Type="http://schemas.openxmlformats.org/officeDocument/2006/relationships/hyperlink" Target="http://www.sec.gov/Archives/edgar/data/1043121/000119312513278918/d561823dex41.htm" TargetMode="External"/><Relationship Id="rId268" Type="http://schemas.openxmlformats.org/officeDocument/2006/relationships/hyperlink" Target="http://www.sec.gov/Archives/edgar/data/1043121/000119312516433648/d124959dex41.htm" TargetMode="External"/><Relationship Id="rId269" Type="http://schemas.openxmlformats.org/officeDocument/2006/relationships/hyperlink" Target="http://www.sec.gov/Archives/edgar/data/1037540/000119312516684223/d312305dex41.htm" TargetMode="External"/><Relationship Id="rId271" Type="http://schemas.openxmlformats.org/officeDocument/2006/relationships/hyperlink" Target="http://www.sec.gov/Archives/edgar/data/1037540/000119312517360335/d505425dex41.htm" TargetMode="External"/><Relationship Id="rId272" Type="http://schemas.openxmlformats.org/officeDocument/2006/relationships/hyperlink" Target="http://www.sec.gov/Archives/edgar/data/1037540/000119312518336581/d649366dex41.htm" TargetMode="External"/><Relationship Id="rId273" Type="http://schemas.openxmlformats.org/officeDocument/2006/relationships/hyperlink" Target="http://www.sec.gov/Archives/edgar/data/1037540/000119312519178827/d651208dex41.htm" TargetMode="External"/><Relationship Id="rId274" Type="http://schemas.openxmlformats.org/officeDocument/2006/relationships/hyperlink" Target="http://www.sec.gov/Archives/edgar/data/1037540/000165642319000026/exhibit41-supplemental.htm" TargetMode="External"/><Relationship Id="rId275" Type="http://schemas.openxmlformats.org/officeDocument/2006/relationships/hyperlink" Target="http://www.sec.gov/Archives/edgar/data/1037540/000165642320000015/bplp-q22020debtofferin.htm" TargetMode="External"/><Relationship Id="rId276" Type="http://schemas.openxmlformats.org/officeDocument/2006/relationships/hyperlink" Target="http://www.sec.gov/Archives/edgar/data/1037540/000119312521082880/d134545dex41.htm" TargetMode="External"/><Relationship Id="rId277" Type="http://schemas.openxmlformats.org/officeDocument/2006/relationships/hyperlink" Target="http://www.sec.gov/Archives/edgar/data/1037540/000165642321000026/exhibit41-supplementalinde.htm" TargetMode="External"/><Relationship Id="rId278" Type="http://schemas.openxmlformats.org/officeDocument/2006/relationships/hyperlink" Target="https://www.sec.gov/Archives/edgar/data/1037540/000165642322000046/bplp-q42022debtofferingxsu.htm" TargetMode="External"/><Relationship Id="rId279" Type="http://schemas.openxmlformats.org/officeDocument/2006/relationships/hyperlink" Target="http://www.sec.gov/Archives/edgar/data/1037540/0000927016-98-002662.txt" TargetMode="External"/><Relationship Id="rId280" Type="http://schemas.openxmlformats.org/officeDocument/2006/relationships/hyperlink" Target="http://www.sec.gov/Archives/edgar/data/1037540/000119312512460629/d409336dex101.htm" TargetMode="External"/><Relationship Id="rId281" Type="http://schemas.openxmlformats.org/officeDocument/2006/relationships/hyperlink" Target="http://www.sec.gov/Archives/edgar/data/1037540/000119312513122053/d506135dex101.htm" TargetMode="External"/><Relationship Id="rId282" Type="http://schemas.openxmlformats.org/officeDocument/2006/relationships/hyperlink" Target="http://www.sec.gov/Archives/edgar/data/1037540/000104746903027787/a2116856zex-10_1.txt" TargetMode="External"/><Relationship Id="rId283" Type="http://schemas.openxmlformats.org/officeDocument/2006/relationships/hyperlink" Target="http://www.sec.gov/Archives/edgar/data/1037540/000119312508014557/dex103.htm" TargetMode="External"/><Relationship Id="rId285" Type="http://schemas.openxmlformats.org/officeDocument/2006/relationships/hyperlink" Target="http://www.sec.gov/Archives/edgar/data/1037540/000119312510250260/dex101.htm" TargetMode="External"/><Relationship Id="rId286" Type="http://schemas.openxmlformats.org/officeDocument/2006/relationships/hyperlink" Target="http://www.sec.gov/Archives/edgar/data/1037540/000165642318000004/bxpbplpexhibit107.htm" TargetMode="External"/><Relationship Id="rId287" Type="http://schemas.openxmlformats.org/officeDocument/2006/relationships/hyperlink" Target="http://www.sec.gov/Archives/edgar/data/1037540/000119312507075669/ddef14a.htm#toc" TargetMode="External"/><Relationship Id="rId288" Type="http://schemas.openxmlformats.org/officeDocument/2006/relationships/hyperlink" Target="http://www.sec.gov/Archives/edgar/data/1037540/000119312512140222/d284300ddef14a.htm" TargetMode="External"/><Relationship Id="rId289" Type="http://schemas.openxmlformats.org/officeDocument/2006/relationships/hyperlink" Target="http://www.sec.gov/Archives/edgar/data/1037540/000165642321000017/exhibit101.htm" TargetMode="External"/><Relationship Id="rId290" Type="http://schemas.openxmlformats.org/officeDocument/2006/relationships/hyperlink" Target="http://www.sec.gov/Archives/edgar/data/1037540/000119312505050590/dex1059.htm" TargetMode="External"/><Relationship Id="rId291" Type="http://schemas.openxmlformats.org/officeDocument/2006/relationships/hyperlink" Target="http://www.sec.gov/Archives/edgar/data/1037540/000119312505050590/dex1060.htm" TargetMode="External"/><Relationship Id="rId292" Type="http://schemas.openxmlformats.org/officeDocument/2006/relationships/hyperlink" Target="http://www.sec.gov/Archives/edgar/data/1037540/000119312505050590/dex1061.htm" TargetMode="External"/><Relationship Id="rId293" Type="http://schemas.openxmlformats.org/officeDocument/2006/relationships/hyperlink" Target="http://www.sec.gov/Archives/edgar/data/1037540/000165642321000024/exhibit103.htm" TargetMode="External"/><Relationship Id="rId294" Type="http://schemas.openxmlformats.org/officeDocument/2006/relationships/hyperlink" Target="http://www.sec.gov/Archives/edgar/data/1037540/000119312509042701/dex1010.htm" TargetMode="External"/><Relationship Id="rId295" Type="http://schemas.openxmlformats.org/officeDocument/2006/relationships/hyperlink" Target="http://www.sec.gov/Archives/edgar/data/1037540/000104746903006975/a2104055zex-10_12.txt" TargetMode="External"/><Relationship Id="rId296" Type="http://schemas.openxmlformats.org/officeDocument/2006/relationships/hyperlink" Target="http://www.sec.gov/Archives/edgar/data/1037540/000119312507242608/dex103.htm" TargetMode="External"/><Relationship Id="rId297" Type="http://schemas.openxmlformats.org/officeDocument/2006/relationships/hyperlink" Target="http://www.sec.gov/Archives/edgar/data/1037540/000119312509042701/dex1019.htm" TargetMode="External"/><Relationship Id="rId298" Type="http://schemas.openxmlformats.org/officeDocument/2006/relationships/hyperlink" Target="http://www.sec.gov/Archives/edgar/data/1037540/000104746903006975/a2104055zex-10_15.txt" TargetMode="External"/><Relationship Id="rId299" Type="http://schemas.openxmlformats.org/officeDocument/2006/relationships/hyperlink" Target="http://www.sec.gov/Archives/edgar/data/1037540/000119312507242608/dex104.htm" TargetMode="External"/><Relationship Id="rId300" Type="http://schemas.openxmlformats.org/officeDocument/2006/relationships/hyperlink" Target="http://www.sec.gov/Archives/edgar/data/1037540/000119312509042701/dex1022.htm" TargetMode="External"/><Relationship Id="rId301" Type="http://schemas.openxmlformats.org/officeDocument/2006/relationships/hyperlink" Target="http://www.sec.gov/Archives/edgar/data/1037540/000119312508014557/dex102.htm" TargetMode="External"/><Relationship Id="rId302" Type="http://schemas.openxmlformats.org/officeDocument/2006/relationships/hyperlink" Target="http://www.sec.gov/Archives/edgar/data/1037540/000119312509042701/dex1027.htm" TargetMode="External"/><Relationship Id="rId304" Type="http://schemas.openxmlformats.org/officeDocument/2006/relationships/hyperlink" Target="http://www.sec.gov/Archives/edgar/data/1037540/000104746903006975/a2104055zex-10_10.txt" TargetMode="External"/><Relationship Id="rId305" Type="http://schemas.openxmlformats.org/officeDocument/2006/relationships/hyperlink" Target="http://www.sec.gov/Archives/edgar/data/1037540/000119312507242608/dex107.htm" TargetMode="External"/><Relationship Id="rId306" Type="http://schemas.openxmlformats.org/officeDocument/2006/relationships/hyperlink" Target="http://www.sec.gov/Archives/edgar/data/1037540/000119312509042701/dex1033.htm" TargetMode="External"/><Relationship Id="rId307" Type="http://schemas.openxmlformats.org/officeDocument/2006/relationships/hyperlink" Target="http://www.sec.gov/Archives/edgar/data/1037540/000104746903006975/a2104055zex-10_14.txt" TargetMode="External"/><Relationship Id="rId308" Type="http://schemas.openxmlformats.org/officeDocument/2006/relationships/hyperlink" Target="http://www.sec.gov/Archives/edgar/data/1037540/000119312507242608/dex109.htm" TargetMode="External"/><Relationship Id="rId309" Type="http://schemas.openxmlformats.org/officeDocument/2006/relationships/hyperlink" Target="http://www.sec.gov/Archives/edgar/data/1037540/000119312509042701/dex1040.htm" TargetMode="External"/><Relationship Id="rId310" Type="http://schemas.openxmlformats.org/officeDocument/2006/relationships/hyperlink" Target="http://www.sec.gov/Archives/edgar/data/1037540/000165642318000012/bxpandbplp33118ex102.htm" TargetMode="External"/><Relationship Id="rId311" Type="http://schemas.openxmlformats.org/officeDocument/2006/relationships/hyperlink" Target="http://www.sec.gov/Archives/edgar/data/1037540/000104746903006975/a2104055zex-10_19.txt" TargetMode="External"/><Relationship Id="rId312" Type="http://schemas.openxmlformats.org/officeDocument/2006/relationships/hyperlink" Target="http://www.sec.gov/Archives/edgar/data/1037540/000119312507242608/dex1013.htm" TargetMode="External"/><Relationship Id="rId313" Type="http://schemas.openxmlformats.org/officeDocument/2006/relationships/hyperlink" Target="http://www.sec.gov/Archives/edgar/data/1037540/000119312509042701/dex1052.htm" TargetMode="External"/><Relationship Id="rId314" Type="http://schemas.openxmlformats.org/officeDocument/2006/relationships/hyperlink" Target="http://www.sec.gov/Archives/edgar/data/1037540/000119312514077846/d636175dex1048.htm" TargetMode="External"/><Relationship Id="rId315" Type="http://schemas.openxmlformats.org/officeDocument/2006/relationships/hyperlink" Target="http://www.sec.gov/Archives/edgar/data/1037540/000104746903006975/a2104055zex-10_20.txt" TargetMode="External"/><Relationship Id="rId316" Type="http://schemas.openxmlformats.org/officeDocument/2006/relationships/hyperlink" Target="http://www.sec.gov/Archives/edgar/data/1037540/000119312507242608/dex1014.htm" TargetMode="External"/><Relationship Id="rId317" Type="http://schemas.openxmlformats.org/officeDocument/2006/relationships/hyperlink" Target="http://www.sec.gov/Archives/edgar/data/1037540/000119312514077846/d636175dex1051.htm" TargetMode="External"/><Relationship Id="rId318" Type="http://schemas.openxmlformats.org/officeDocument/2006/relationships/hyperlink" Target="http://www.sec.gov/Archives/edgar/data/1037540/000119312507242608/dex1015.htm" TargetMode="External"/><Relationship Id="rId319" Type="http://schemas.openxmlformats.org/officeDocument/2006/relationships/hyperlink" Target="http://www.sec.gov/Archives/edgar/data/1037540/000119312507242608/dex1016.htm" TargetMode="External"/><Relationship Id="rId320" Type="http://schemas.openxmlformats.org/officeDocument/2006/relationships/hyperlink" Target="http://www.sec.gov/Archives/edgar/data/1037540/000119312509042701/dex1057.htm" TargetMode="External"/><Relationship Id="rId321" Type="http://schemas.openxmlformats.org/officeDocument/2006/relationships/hyperlink" Target="http://www.sec.gov/Archives/edgar/data/1037540/000165642320000007/bxpbplp-20191231ex1043.htm" TargetMode="External"/><Relationship Id="rId322" Type="http://schemas.openxmlformats.org/officeDocument/2006/relationships/hyperlink" Target="http://www.sec.gov/Archives/edgar/data/1037540/000119312511047496/dex1055.htm" TargetMode="External"/><Relationship Id="rId324" Type="http://schemas.openxmlformats.org/officeDocument/2006/relationships/hyperlink" Target="http://www.sec.gov/Archives/edgar/data/1037540/000119312522096364/d286965ddef14a.htm" TargetMode="External"/><Relationship Id="rId325" Type="http://schemas.openxmlformats.org/officeDocument/2006/relationships/hyperlink" Target="http://www.sec.gov/Archives/edgar/data/1037540/000119312521192092/d52008dex101.htm" TargetMode="External"/><Relationship Id="rId326" Type="http://schemas.openxmlformats.org/officeDocument/2006/relationships/hyperlink" Target="http://www.sec.gov/Archives/edgar/data/1037540/000165642323000003/bxp-2023termloancredit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2023-02-27T20:03:19Z</dcterms:created>
  <dcterms:modified xsi:type="dcterms:W3CDTF">2023-02-27T20:03:19Z</dcterms:modified>
</cp:coreProperties>
</file>