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4862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862830"/>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00"/>
          </w:cols>
          <w:pgMar w:left="460" w:top="216" w:right="37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00" w:type="dxa"/>
            <w:vAlign w:val="bottom"/>
            <w:gridSpan w:val="2"/>
            <w:vMerge w:val="restart"/>
          </w:tcPr>
          <w:p>
            <w:pPr>
              <w:spacing w:after="0"/>
              <w:rPr>
                <w:rFonts w:ascii="Times New Roman" w:cs="Times New Roman" w:eastAsia="Times New Roman" w:hAnsi="Times New Roman"/>
                <w:sz w:val="21"/>
                <w:szCs w:val="21"/>
                <w:color w:val="0000EE"/>
                <w:w w:val="96"/>
              </w:rPr>
            </w:pPr>
            <w:hyperlink r:id="rId13">
              <w:r>
                <w:rPr>
                  <w:rFonts w:ascii="Times New Roman" w:cs="Times New Roman" w:eastAsia="Times New Roman" w:hAnsi="Times New Roman"/>
                  <w:sz w:val="21"/>
                  <w:szCs w:val="21"/>
                  <w:color w:val="0000EE"/>
                  <w:w w:val="96"/>
                </w:rPr>
                <w:t>WALTON WILLIAM H III</w:t>
              </w:r>
            </w:hyperlink>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BXP,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BXP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300" w:type="dxa"/>
            <w:vAlign w:val="bottom"/>
            <w:tcBorders>
              <w:bottom w:val="single" w:sz="8" w:color="0000EE"/>
            </w:tcBorders>
            <w:gridSpan w:val="2"/>
            <w:vMerge w:val="continue"/>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29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9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132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60" w:type="dxa"/>
            <w:vAlign w:val="bottom"/>
            <w:vMerge w:val="restart"/>
          </w:tcPr>
          <w:p>
            <w:pPr>
              <w:ind w:left="180"/>
              <w:spacing w:after="0"/>
              <w:rPr>
                <w:sz w:val="20"/>
                <w:szCs w:val="20"/>
                <w:color w:val="auto"/>
              </w:rPr>
            </w:pPr>
            <w:r>
              <w:rPr>
                <w:rFonts w:ascii="Arial" w:cs="Arial" w:eastAsia="Arial" w:hAnsi="Arial"/>
                <w:sz w:val="13"/>
                <w:szCs w:val="13"/>
                <w:color w:val="auto"/>
              </w:rPr>
              <w:t>(First)</w:t>
            </w:r>
          </w:p>
        </w:tc>
        <w:tc>
          <w:tcPr>
            <w:tcW w:w="132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9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05/29/2026</w:t>
            </w:r>
          </w:p>
        </w:tc>
        <w:tc>
          <w:tcPr>
            <w:tcW w:w="29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ONE INDEPENDENT DRIVE</w:t>
            </w:r>
          </w:p>
        </w:tc>
        <w:tc>
          <w:tcPr>
            <w:tcW w:w="1320" w:type="dxa"/>
            <w:vAlign w:val="bottom"/>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29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00" w:type="dxa"/>
            <w:vAlign w:val="bottom"/>
            <w:gridSpan w:val="2"/>
            <w:vMerge w:val="continue"/>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10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1600</w:t>
            </w:r>
          </w:p>
        </w:tc>
        <w:tc>
          <w:tcPr>
            <w:tcW w:w="1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29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60"/>
          </w:cols>
          <w:pgMar w:left="460" w:top="216" w:right="37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JACKSONVILLE FL</w:t>
            </w:r>
          </w:p>
        </w:tc>
        <w:tc>
          <w:tcPr>
            <w:tcW w:w="1600" w:type="dxa"/>
            <w:vAlign w:val="bottom"/>
          </w:tcPr>
          <w:p>
            <w:pPr>
              <w:jc w:val="right"/>
              <w:ind w:right="645"/>
              <w:spacing w:after="0"/>
              <w:rPr>
                <w:sz w:val="20"/>
                <w:szCs w:val="20"/>
                <w:color w:val="auto"/>
              </w:rPr>
            </w:pPr>
            <w:r>
              <w:rPr>
                <w:rFonts w:ascii="Times New Roman" w:cs="Times New Roman" w:eastAsia="Times New Roman" w:hAnsi="Times New Roman"/>
                <w:sz w:val="17"/>
                <w:szCs w:val="17"/>
                <w:color w:val="0000FF"/>
              </w:rPr>
              <w:t>32202</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25"/>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00"/>
          </w:cols>
          <w:pgMar w:left="460" w:top="216" w:right="379" w:bottom="1440" w:gutter="0" w:footer="0" w:header="0"/>
          <w:type w:val="continuous"/>
        </w:sectPr>
      </w:pPr>
    </w:p>
    <w:p>
      <w:pPr>
        <w:jc w:val="center"/>
        <w:ind w:right="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36"/>
        </w:trPr>
        <w:tc>
          <w:tcPr>
            <w:tcW w:w="7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26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9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r>
    </w:tbl>
    <w:p>
      <w:pPr>
        <w:spacing w:after="0" w:line="46"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68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LTIP</w:t>
            </w:r>
          </w:p>
        </w:tc>
        <w:tc>
          <w:tcPr>
            <w:tcW w:w="7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jc w:val="center"/>
              <w:ind w:left="35"/>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680" w:type="dxa"/>
            <w:vAlign w:val="bottom"/>
            <w:vMerge w:val="continue"/>
          </w:tcPr>
          <w:p>
            <w:pPr>
              <w:spacing w:after="0"/>
              <w:rPr>
                <w:sz w:val="14"/>
                <w:szCs w:val="14"/>
                <w:color w:val="auto"/>
              </w:rPr>
            </w:pPr>
          </w:p>
        </w:tc>
        <w:tc>
          <w:tcPr>
            <w:tcW w:w="70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008000"/>
              </w:rPr>
              <w:t>(1)</w:t>
            </w:r>
          </w:p>
        </w:tc>
        <w:tc>
          <w:tcPr>
            <w:tcW w:w="1640" w:type="dxa"/>
            <w:vAlign w:val="bottom"/>
            <w:vMerge w:val="restart"/>
          </w:tcPr>
          <w:p>
            <w:pPr>
              <w:jc w:val="right"/>
              <w:ind w:right="695"/>
              <w:spacing w:after="0"/>
              <w:rPr>
                <w:sz w:val="20"/>
                <w:szCs w:val="20"/>
                <w:color w:val="auto"/>
              </w:rPr>
            </w:pPr>
            <w:r>
              <w:rPr>
                <w:rFonts w:ascii="Times New Roman" w:cs="Times New Roman" w:eastAsia="Times New Roman" w:hAnsi="Times New Roman"/>
                <w:sz w:val="13"/>
                <w:szCs w:val="13"/>
                <w:color w:val="0000FF"/>
              </w:rPr>
              <w:t>05/29/2026</w:t>
            </w:r>
          </w:p>
        </w:tc>
        <w:tc>
          <w:tcPr>
            <w:tcW w:w="1160" w:type="dxa"/>
            <w:vAlign w:val="bottom"/>
            <w:vMerge w:val="restart"/>
          </w:tcPr>
          <w:p>
            <w:pPr>
              <w:ind w:left="760"/>
              <w:spacing w:after="0"/>
              <w:rPr>
                <w:sz w:val="20"/>
                <w:szCs w:val="20"/>
                <w:color w:val="auto"/>
              </w:rPr>
            </w:pPr>
            <w:r>
              <w:rPr>
                <w:rFonts w:ascii="Times New Roman" w:cs="Times New Roman" w:eastAsia="Times New Roman" w:hAnsi="Times New Roman"/>
                <w:sz w:val="13"/>
                <w:szCs w:val="13"/>
                <w:color w:val="0000FF"/>
              </w:rPr>
              <w:t>A</w:t>
            </w:r>
          </w:p>
        </w:tc>
        <w:tc>
          <w:tcPr>
            <w:tcW w:w="920" w:type="dxa"/>
            <w:vAlign w:val="bottom"/>
            <w:vMerge w:val="restart"/>
          </w:tcPr>
          <w:p>
            <w:pPr>
              <w:jc w:val="right"/>
              <w:ind w:right="255"/>
              <w:spacing w:after="0"/>
              <w:rPr>
                <w:sz w:val="20"/>
                <w:szCs w:val="20"/>
                <w:color w:val="auto"/>
              </w:rPr>
            </w:pPr>
            <w:r>
              <w:rPr>
                <w:rFonts w:ascii="Times New Roman" w:cs="Times New Roman" w:eastAsia="Times New Roman" w:hAnsi="Times New Roman"/>
                <w:sz w:val="13"/>
                <w:szCs w:val="13"/>
                <w:color w:val="0000FF"/>
              </w:rPr>
              <w:t>3,332</w:t>
            </w:r>
          </w:p>
        </w:tc>
        <w:tc>
          <w:tcPr>
            <w:tcW w:w="86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008000"/>
              </w:rPr>
              <w:t>(1)(2)</w:t>
            </w:r>
          </w:p>
        </w:tc>
        <w:tc>
          <w:tcPr>
            <w:tcW w:w="5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008000"/>
              </w:rPr>
              <w:t>(1)</w:t>
            </w:r>
          </w:p>
        </w:tc>
        <w:tc>
          <w:tcPr>
            <w:tcW w:w="760" w:type="dxa"/>
            <w:vAlign w:val="bottom"/>
          </w:tcPr>
          <w:p>
            <w:pPr>
              <w:jc w:val="center"/>
              <w:ind w:left="35"/>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3,332</w:t>
            </w:r>
          </w:p>
        </w:tc>
        <w:tc>
          <w:tcPr>
            <w:tcW w:w="700" w:type="dxa"/>
            <w:vAlign w:val="bottom"/>
            <w:vMerge w:val="restart"/>
          </w:tcPr>
          <w:p>
            <w:pPr>
              <w:jc w:val="right"/>
              <w:ind w:right="2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0.25</w:t>
            </w:r>
          </w:p>
        </w:tc>
        <w:tc>
          <w:tcPr>
            <w:tcW w:w="900" w:type="dxa"/>
            <w:vAlign w:val="bottom"/>
            <w:vMerge w:val="restart"/>
          </w:tcPr>
          <w:p>
            <w:pPr>
              <w:jc w:val="right"/>
              <w:ind w:right="235"/>
              <w:spacing w:after="0"/>
              <w:rPr>
                <w:sz w:val="20"/>
                <w:szCs w:val="20"/>
                <w:color w:val="auto"/>
              </w:rPr>
            </w:pPr>
            <w:r>
              <w:rPr>
                <w:rFonts w:ascii="Times New Roman" w:cs="Times New Roman" w:eastAsia="Times New Roman" w:hAnsi="Times New Roman"/>
                <w:sz w:val="13"/>
                <w:szCs w:val="13"/>
                <w:color w:val="0000FF"/>
              </w:rPr>
              <w:t>17,629</w:t>
            </w:r>
          </w:p>
        </w:tc>
        <w:tc>
          <w:tcPr>
            <w:tcW w:w="40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w w:val="84"/>
              </w:rPr>
              <w:t>D</w:t>
            </w:r>
          </w:p>
        </w:tc>
        <w:tc>
          <w:tcPr>
            <w:tcW w:w="0" w:type="dxa"/>
            <w:vAlign w:val="bottom"/>
          </w:tcPr>
          <w:p>
            <w:pPr>
              <w:spacing w:after="0"/>
              <w:rPr>
                <w:sz w:val="1"/>
                <w:szCs w:val="1"/>
                <w:color w:val="auto"/>
              </w:rPr>
            </w:pPr>
          </w:p>
        </w:tc>
      </w:tr>
      <w:tr>
        <w:trPr>
          <w:trHeight w:val="117"/>
        </w:trPr>
        <w:tc>
          <w:tcPr>
            <w:tcW w:w="680" w:type="dxa"/>
            <w:vAlign w:val="bottom"/>
          </w:tcPr>
          <w:p>
            <w:pPr>
              <w:spacing w:after="0" w:line="118" w:lineRule="exact"/>
              <w:rPr>
                <w:sz w:val="20"/>
                <w:szCs w:val="20"/>
                <w:color w:val="auto"/>
              </w:rPr>
            </w:pPr>
            <w:r>
              <w:rPr>
                <w:rFonts w:ascii="Times New Roman" w:cs="Times New Roman" w:eastAsia="Times New Roman" w:hAnsi="Times New Roman"/>
                <w:sz w:val="9"/>
                <w:szCs w:val="9"/>
                <w:color w:val="0000FF"/>
              </w:rPr>
              <w:t>Units</w:t>
            </w:r>
            <w:r>
              <w:rPr>
                <w:rFonts w:ascii="Times New Roman" w:cs="Times New Roman" w:eastAsia="Times New Roman" w:hAnsi="Times New Roman"/>
                <w:sz w:val="13"/>
                <w:szCs w:val="13"/>
                <w:color w:val="008000"/>
                <w:vertAlign w:val="superscript"/>
              </w:rPr>
              <w:t>(1)</w:t>
            </w:r>
          </w:p>
        </w:tc>
        <w:tc>
          <w:tcPr>
            <w:tcW w:w="70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jc w:val="center"/>
              <w:ind w:left="55"/>
              <w:spacing w:after="0" w:line="118" w:lineRule="exact"/>
              <w:rPr>
                <w:sz w:val="20"/>
                <w:szCs w:val="20"/>
                <w:color w:val="auto"/>
              </w:rPr>
            </w:pPr>
            <w:r>
              <w:rPr>
                <w:rFonts w:ascii="Times New Roman" w:cs="Times New Roman" w:eastAsia="Times New Roman" w:hAnsi="Times New Roman"/>
                <w:sz w:val="13"/>
                <w:szCs w:val="13"/>
                <w:color w:val="0000FF"/>
                <w:w w:val="99"/>
              </w:rPr>
              <w:t>par value</w:t>
            </w:r>
          </w:p>
        </w:tc>
        <w:tc>
          <w:tcPr>
            <w:tcW w:w="62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jc w:val="center"/>
              <w:ind w:left="35"/>
              <w:spacing w:after="0"/>
              <w:rPr>
                <w:sz w:val="20"/>
                <w:szCs w:val="20"/>
                <w:color w:val="auto"/>
              </w:rPr>
            </w:pPr>
            <w:r>
              <w:rPr>
                <w:rFonts w:ascii="Times New Roman" w:cs="Times New Roman" w:eastAsia="Times New Roman" w:hAnsi="Times New Roman"/>
                <w:sz w:val="13"/>
                <w:szCs w:val="13"/>
                <w:color w:val="0000FF"/>
              </w:rPr>
              <w:t>$0.01</w:t>
            </w: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160" w:firstLine="3"/>
        <w:spacing w:after="0" w:line="237"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units of limited partnership interest in Boston Properties Limited Partnership ("BPLP"), of which the Issuer is the general partner, issued pursuant to the Issuer's equity based incentive programs ("LTIP Units"). Conditioned upon minimum allocations to the capital accounts of the LTIP Units for federal income tax purposes, each LTIP Unit may be converted, at the election of BPLP or the holder, into a common unit of limited partnership interest in BPLP ("Common OP Unit"). Each Common OP Unit acquired upon conversion of an LTIP Unit may be presented for redemption, at the election of the holder, for cash equal to the then fair market value of a share of the Issuer's common stock, except that the Issuer may, at its election, acquire each Common OP Unit so presented for one share of common stock. LTIP Units have no expiration date.</w:t>
      </w:r>
    </w:p>
    <w:p>
      <w:pPr>
        <w:spacing w:after="0" w:line="28"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3,332 LTIP Units will vest on the earlier of (i) May 29, 2027 and (ii) the date of the BXP's 2027 annual meeting of stockholders.</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Kelli A. DiLuglio, as</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06/02/2026</w:t>
            </w: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480" w:type="dxa"/>
            <w:vAlign w:val="bottom"/>
            <w:tcBorders>
              <w:top w:val="single" w:sz="8" w:color="auto"/>
              <w:bottom w:val="single" w:sz="8" w:color="auto"/>
            </w:tcBorders>
            <w:vMerge w:val="restart"/>
          </w:tcPr>
          <w:p>
            <w:pPr>
              <w:spacing w:after="0"/>
              <w:rPr>
                <w:sz w:val="7"/>
                <w:szCs w:val="7"/>
                <w:color w:val="auto"/>
              </w:rPr>
            </w:pPr>
          </w:p>
        </w:tc>
        <w:tc>
          <w:tcPr>
            <w:tcW w:w="5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140" w:type="dxa"/>
            <w:vAlign w:val="bottom"/>
            <w:tcBorders>
              <w:bottom w:val="single" w:sz="8" w:color="auto"/>
            </w:tcBorders>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60"/>
      </w:cols>
      <w:pgMar w:left="460" w:top="216"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058795" TargetMode="External"/><Relationship Id="rId14" Type="http://schemas.openxmlformats.org/officeDocument/2006/relationships/hyperlink" Target="http://www.sec.gov/cgi-bin/browse-edgar?action=getcompany&amp;CIK=00010375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2026-06-02T09:14:45Z</dcterms:created>
  <dcterms:modified xsi:type="dcterms:W3CDTF">2026-06-02T09:14:45Z</dcterms:modified>
</cp:coreProperties>
</file>