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0001931048</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BXP,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001-13087</w:t>
            </w:r>
          </w:p>
        </w:tc>
      </w:tr>
      <w:tr>
        <w:trPr>
          <w:trHeight w:val="258"/>
        </w:trPr>
        <w:tc>
          <w:tcPr>
            <w:tcW w:w="300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800 BOYLSTON STREET</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SUITE 1900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34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02199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40" w:type="dxa"/>
            <w:vAlign w:val="bottom"/>
          </w:tcPr>
          <w:p>
            <w:pPr>
              <w:spacing w:after="0"/>
              <w:rPr>
                <w:sz w:val="24"/>
                <w:szCs w:val="24"/>
                <w:color w:val="auto"/>
              </w:rPr>
            </w:pP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6172363300</w:t>
            </w:r>
          </w:p>
        </w:tc>
      </w:tr>
      <w:tr>
        <w:trPr>
          <w:trHeight w:val="297"/>
        </w:trPr>
        <w:tc>
          <w:tcPr>
            <w:tcW w:w="68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Kevorkian Eric 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6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60" w:type="dxa"/>
            <w:vAlign w:val="bottom"/>
            <w:vMerge w:val="restart"/>
          </w:tcPr>
          <w:p>
            <w:pPr>
              <w:ind w:left="94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6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par value</w:t>
            </w:r>
          </w:p>
        </w:tc>
        <w:tc>
          <w:tcPr>
            <w:tcW w:w="24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Computershare</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2460" w:type="dxa"/>
            <w:vAlign w:val="bottom"/>
          </w:tcPr>
          <w:p>
            <w:pPr>
              <w:ind w:left="100"/>
              <w:spacing w:after="0" w:line="217" w:lineRule="exact"/>
              <w:rPr>
                <w:sz w:val="20"/>
                <w:szCs w:val="20"/>
                <w:color w:val="auto"/>
              </w:rPr>
            </w:pPr>
            <w:r>
              <w:rPr>
                <w:rFonts w:ascii="Times New Roman" w:cs="Times New Roman" w:eastAsia="Times New Roman" w:hAnsi="Times New Roman"/>
                <w:sz w:val="22"/>
                <w:szCs w:val="22"/>
                <w:color w:val="auto"/>
              </w:rPr>
              <w:t>150 Royall Street</w:t>
            </w:r>
          </w:p>
        </w:tc>
        <w:tc>
          <w:tcPr>
            <w:tcW w:w="1200" w:type="dxa"/>
            <w:vAlign w:val="bottom"/>
          </w:tcPr>
          <w:p>
            <w:pPr>
              <w:jc w:val="right"/>
              <w:ind w:right="632"/>
              <w:spacing w:after="0" w:line="217" w:lineRule="exact"/>
              <w:rPr>
                <w:sz w:val="20"/>
                <w:szCs w:val="20"/>
                <w:color w:val="auto"/>
              </w:rPr>
            </w:pPr>
            <w:r>
              <w:rPr>
                <w:rFonts w:ascii="Times New Roman" w:cs="Times New Roman" w:eastAsia="Times New Roman" w:hAnsi="Times New Roman"/>
                <w:sz w:val="22"/>
                <w:szCs w:val="22"/>
                <w:color w:val="auto"/>
                <w:w w:val="99"/>
              </w:rPr>
              <w:t>2000</w:t>
            </w:r>
          </w:p>
        </w:tc>
        <w:tc>
          <w:tcPr>
            <w:tcW w:w="1140" w:type="dxa"/>
            <w:vAlign w:val="bottom"/>
          </w:tcPr>
          <w:p>
            <w:pPr>
              <w:jc w:val="right"/>
              <w:ind w:right="92"/>
              <w:spacing w:after="0" w:line="217" w:lineRule="exact"/>
              <w:rPr>
                <w:sz w:val="20"/>
                <w:szCs w:val="20"/>
                <w:color w:val="auto"/>
              </w:rPr>
            </w:pPr>
            <w:r>
              <w:rPr>
                <w:rFonts w:ascii="Times New Roman" w:cs="Times New Roman" w:eastAsia="Times New Roman" w:hAnsi="Times New Roman"/>
                <w:sz w:val="22"/>
                <w:szCs w:val="22"/>
                <w:color w:val="auto"/>
                <w:w w:val="98"/>
              </w:rPr>
              <w:t>119800.00</w:t>
            </w: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$0.01</w:t>
            </w:r>
          </w:p>
        </w:tc>
        <w:tc>
          <w:tcPr>
            <w:tcW w:w="246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Canton  MA  02021</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6"/>
        </w:trPr>
        <w:tc>
          <w:tcPr>
            <w:tcW w:w="236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159477391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05/21/2026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center"/>
              <w:ind w:right="1572"/>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2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center"/>
              <w:ind w:right="159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Redemption of</w:t>
            </w:r>
          </w:p>
        </w:tc>
        <w:tc>
          <w:tcPr>
            <w:tcW w:w="14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common units in</w:t>
            </w:r>
          </w:p>
        </w:tc>
        <w:tc>
          <w:tcPr>
            <w:tcW w:w="14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760" w:type="dxa"/>
            <w:vAlign w:val="bottom"/>
            <w:vMerge w:val="restart"/>
          </w:tcPr>
          <w:p>
            <w:pPr>
              <w:ind w:left="1480"/>
              <w:spacing w:after="0"/>
              <w:rPr>
                <w:sz w:val="20"/>
                <w:szCs w:val="20"/>
                <w:color w:val="auto"/>
              </w:rPr>
            </w:pPr>
            <w:r>
              <w:rPr>
                <w:rFonts w:ascii="Times New Roman" w:cs="Times New Roman" w:eastAsia="Times New Roman" w:hAnsi="Times New Roman"/>
                <w:sz w:val="22"/>
                <w:szCs w:val="22"/>
                <w:color w:val="auto"/>
                <w:w w:val="95"/>
              </w:rPr>
              <w:t>Redemption of</w:t>
            </w:r>
          </w:p>
        </w:tc>
        <w:tc>
          <w:tcPr>
            <w:tcW w:w="0" w:type="dxa"/>
            <w:vAlign w:val="bottom"/>
          </w:tcPr>
          <w:p>
            <w:pPr>
              <w:spacing w:after="0"/>
              <w:rPr>
                <w:sz w:val="1"/>
                <w:szCs w:val="1"/>
                <w:color w:val="auto"/>
              </w:rPr>
            </w:pPr>
          </w:p>
        </w:tc>
      </w:tr>
      <w:tr>
        <w:trPr>
          <w:trHeight w:val="121"/>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w w:val="99"/>
              </w:rPr>
              <w:t>Common Stock,</w:t>
            </w:r>
          </w:p>
        </w:tc>
        <w:tc>
          <w:tcPr>
            <w:tcW w:w="1060" w:type="dxa"/>
            <w:vAlign w:val="bottom"/>
          </w:tcPr>
          <w:p>
            <w:pPr>
              <w:spacing w:after="0"/>
              <w:rPr>
                <w:sz w:val="10"/>
                <w:szCs w:val="10"/>
                <w:color w:val="auto"/>
              </w:rPr>
            </w:pPr>
          </w:p>
        </w:tc>
        <w:tc>
          <w:tcPr>
            <w:tcW w:w="1640" w:type="dxa"/>
            <w:vAlign w:val="bottom"/>
            <w:vMerge w:val="restart"/>
          </w:tcPr>
          <w:p>
            <w:pPr>
              <w:ind w:left="20"/>
              <w:spacing w:after="0" w:line="243" w:lineRule="exact"/>
              <w:rPr>
                <w:sz w:val="20"/>
                <w:szCs w:val="20"/>
                <w:color w:val="auto"/>
              </w:rPr>
            </w:pPr>
            <w:r>
              <w:rPr>
                <w:rFonts w:ascii="Times New Roman" w:cs="Times New Roman" w:eastAsia="Times New Roman" w:hAnsi="Times New Roman"/>
                <w:sz w:val="22"/>
                <w:szCs w:val="22"/>
                <w:color w:val="auto"/>
              </w:rPr>
              <w:t>Boston Properties</w:t>
            </w:r>
          </w:p>
        </w:tc>
        <w:tc>
          <w:tcPr>
            <w:tcW w:w="14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05/21/2026</w:t>
            </w:r>
          </w:p>
        </w:tc>
        <w:tc>
          <w:tcPr>
            <w:tcW w:w="1640" w:type="dxa"/>
            <w:vAlign w:val="bottom"/>
            <w:vMerge w:val="continue"/>
          </w:tcPr>
          <w:p>
            <w:pPr>
              <w:spacing w:after="0"/>
              <w:rPr>
                <w:sz w:val="10"/>
                <w:szCs w:val="10"/>
                <w:color w:val="auto"/>
              </w:rPr>
            </w:pPr>
          </w:p>
        </w:tc>
        <w:tc>
          <w:tcPr>
            <w:tcW w:w="14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BXP, Inc.</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2000</w:t>
            </w:r>
          </w:p>
        </w:tc>
        <w:tc>
          <w:tcPr>
            <w:tcW w:w="27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05/21/2026 Partnership</w:t>
            </w:r>
          </w:p>
        </w:tc>
        <w:tc>
          <w:tcPr>
            <w:tcW w:w="0" w:type="dxa"/>
            <w:vAlign w:val="bottom"/>
          </w:tcPr>
          <w:p>
            <w:pPr>
              <w:spacing w:after="0"/>
              <w:rPr>
                <w:sz w:val="1"/>
                <w:szCs w:val="1"/>
                <w:color w:val="auto"/>
              </w:rPr>
            </w:pPr>
          </w:p>
        </w:tc>
      </w:tr>
      <w:tr>
        <w:trPr>
          <w:trHeight w:val="216"/>
        </w:trPr>
        <w:tc>
          <w:tcPr>
            <w:tcW w:w="14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par value $0.01</w:t>
            </w:r>
          </w:p>
        </w:tc>
        <w:tc>
          <w:tcPr>
            <w:tcW w:w="1060" w:type="dxa"/>
            <w:vAlign w:val="bottom"/>
            <w:vMerge w:val="continue"/>
          </w:tcPr>
          <w:p>
            <w:pPr>
              <w:spacing w:after="0"/>
              <w:rPr>
                <w:sz w:val="18"/>
                <w:szCs w:val="18"/>
                <w:color w:val="auto"/>
              </w:rPr>
            </w:pPr>
          </w:p>
        </w:tc>
        <w:tc>
          <w:tcPr>
            <w:tcW w:w="16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Limited</w:t>
            </w:r>
          </w:p>
        </w:tc>
        <w:tc>
          <w:tcPr>
            <w:tcW w:w="1400" w:type="dxa"/>
            <w:vAlign w:val="bottom"/>
            <w:vMerge w:val="continue"/>
          </w:tcPr>
          <w:p>
            <w:pPr>
              <w:spacing w:after="0"/>
              <w:rPr>
                <w:sz w:val="18"/>
                <w:szCs w:val="18"/>
                <w:color w:val="auto"/>
              </w:rPr>
            </w:pPr>
          </w:p>
        </w:tc>
        <w:tc>
          <w:tcPr>
            <w:tcW w:w="2500" w:type="dxa"/>
            <w:vAlign w:val="bottom"/>
            <w:vMerge w:val="continue"/>
          </w:tcPr>
          <w:p>
            <w:pPr>
              <w:spacing w:after="0"/>
              <w:rPr>
                <w:sz w:val="18"/>
                <w:szCs w:val="18"/>
                <w:color w:val="auto"/>
              </w:rPr>
            </w:pPr>
          </w:p>
        </w:tc>
        <w:tc>
          <w:tcPr>
            <w:tcW w:w="2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Partnership (see</w:t>
            </w:r>
          </w:p>
        </w:tc>
        <w:tc>
          <w:tcPr>
            <w:tcW w:w="14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760" w:type="dxa"/>
            <w:vAlign w:val="bottom"/>
          </w:tcPr>
          <w:p>
            <w:pPr>
              <w:ind w:left="1480"/>
              <w:spacing w:after="0" w:line="243" w:lineRule="exact"/>
              <w:rPr>
                <w:sz w:val="20"/>
                <w:szCs w:val="20"/>
                <w:color w:val="auto"/>
              </w:rPr>
            </w:pPr>
            <w:r>
              <w:rPr>
                <w:rFonts w:ascii="Times New Roman" w:cs="Times New Roman" w:eastAsia="Times New Roman" w:hAnsi="Times New Roman"/>
                <w:sz w:val="22"/>
                <w:szCs w:val="22"/>
                <w:color w:val="auto"/>
              </w:rPr>
              <w:t>Interest</w:t>
            </w:r>
          </w:p>
        </w:tc>
        <w:tc>
          <w:tcPr>
            <w:tcW w:w="0" w:type="dxa"/>
            <w:vAlign w:val="bottom"/>
          </w:tcPr>
          <w:p>
            <w:pPr>
              <w:spacing w:after="0"/>
              <w:rPr>
                <w:sz w:val="1"/>
                <w:szCs w:val="1"/>
                <w:color w:val="auto"/>
              </w:rPr>
            </w:pPr>
          </w:p>
        </w:tc>
      </w:tr>
      <w:tr>
        <w:trPr>
          <w:trHeight w:val="51"/>
        </w:trPr>
        <w:tc>
          <w:tcPr>
            <w:tcW w:w="14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-374650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2560"/>
        <w:spacing w:after="0"/>
        <w:rPr>
          <w:sz w:val="20"/>
          <w:szCs w:val="20"/>
          <w:color w:val="auto"/>
        </w:rPr>
      </w:pPr>
      <w:r>
        <w:rPr>
          <w:rFonts w:ascii="Times New Roman" w:cs="Times New Roman" w:eastAsia="Times New Roman" w:hAnsi="Times New Roman"/>
          <w:sz w:val="22"/>
          <w:szCs w:val="22"/>
          <w:color w:val="auto"/>
        </w:rPr>
        <w:t>Remarks)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Eric G. Kevorkian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Boylston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 par value $0.01</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05/21/2026 200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12046.00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Boston  MA  02199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shares reported herein were acquired upon redemption by the holder of common units in Boston Properties</w:t>
      </w:r>
    </w:p>
    <w:p>
      <w:pPr>
        <w:spacing w:after="0" w:line="14" w:lineRule="exact"/>
        <w:rPr>
          <w:sz w:val="20"/>
          <w:szCs w:val="20"/>
          <w:color w:val="auto"/>
        </w:rPr>
      </w:pPr>
    </w:p>
    <w:p>
      <w:pPr>
        <w:jc w:val="both"/>
        <w:ind w:left="940" w:right="6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Limited Partnership (BPLP), of which the issuer is the general partner. The common units were acquired upon conversion of LTIP units in BPLP issued as long-term incentive compensation pursuant to the Issuer's equity incentive</w:t>
      </w:r>
    </w:p>
    <w:p>
      <w:pPr>
        <w:ind w:left="940"/>
        <w:spacing w:after="0"/>
        <w:rPr>
          <w:sz w:val="20"/>
          <w:szCs w:val="20"/>
          <w:color w:val="auto"/>
        </w:rPr>
      </w:pPr>
      <w:r>
        <w:rPr>
          <w:rFonts w:ascii="Times New Roman" w:cs="Times New Roman" w:eastAsia="Times New Roman" w:hAnsi="Times New Roman"/>
          <w:sz w:val="22"/>
          <w:szCs w:val="22"/>
          <w:color w:val="auto"/>
        </w:rPr>
        <w:t>programs.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05/21/2026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Kelli A. DiLuglio as attorney-in-fact for Eric G. Kevorkian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2026-05-21T14:08:31Z</dcterms:created>
  <dcterms:modified xsi:type="dcterms:W3CDTF">2026-05-21T14:08:31Z</dcterms:modified>
</cp:coreProperties>
</file>