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58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58546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997"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LABELLE MICHAEL E</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BXP</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800 BOYLSTON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BXP,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98"/>
        <w:spacing w:after="0"/>
        <w:rPr>
          <w:sz w:val="20"/>
          <w:szCs w:val="20"/>
          <w:color w:val="auto"/>
        </w:rPr>
      </w:pPr>
      <w:r>
        <w:rPr>
          <w:rFonts w:ascii="Times New Roman" w:cs="Times New Roman" w:eastAsia="Times New Roman" w:hAnsi="Times New Roman"/>
          <w:sz w:val="16"/>
          <w:szCs w:val="16"/>
          <w:color w:val="0000FF"/>
        </w:rPr>
        <w:t>EVP and CFO</w:t>
      </w:r>
    </w:p>
    <w:p>
      <w:pPr>
        <w:spacing w:after="0" w:line="395" w:lineRule="exact"/>
        <w:rPr>
          <w:sz w:val="24"/>
          <w:szCs w:val="24"/>
          <w:color w:val="auto"/>
        </w:rPr>
      </w:pPr>
    </w:p>
    <w:p>
      <w:pPr>
        <w:sectPr>
          <w:pgSz w:w="11900" w:h="16838" w:orient="portrait"/>
          <w:cols w:equalWidth="0" w:num="3">
            <w:col w:w="3200" w:space="720"/>
            <w:col w:w="3102" w:space="720"/>
            <w:col w:w="3338"/>
          </w:cols>
          <w:pgMar w:left="460" w:top="216" w:right="359" w:bottom="99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02199</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41"/>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$0.01</w:t>
            </w:r>
          </w:p>
        </w:tc>
        <w:tc>
          <w:tcPr>
            <w:tcW w:w="1840" w:type="dxa"/>
            <w:vAlign w:val="bottom"/>
            <w:gridSpan w:val="4"/>
          </w:tcPr>
          <w:p>
            <w:pPr>
              <w:jc w:val="center"/>
              <w:ind w:left="694"/>
              <w:spacing w:after="0"/>
              <w:rPr>
                <w:sz w:val="20"/>
                <w:szCs w:val="20"/>
                <w:color w:val="auto"/>
              </w:rPr>
            </w:pPr>
            <w:r>
              <w:rPr>
                <w:rFonts w:ascii="Times New Roman" w:cs="Times New Roman" w:eastAsia="Times New Roman" w:hAnsi="Times New Roman"/>
                <w:sz w:val="16"/>
                <w:szCs w:val="16"/>
                <w:color w:val="0000FF"/>
              </w:rPr>
              <w:t>06/04/2026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23,981</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31,952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61"/>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restart"/>
          </w:tcPr>
          <w:p>
            <w:pPr>
              <w:jc w:val="center"/>
              <w:ind w:right="317"/>
              <w:spacing w:after="0" w:line="280" w:lineRule="exact"/>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(1)</w:t>
            </w:r>
          </w:p>
        </w:tc>
        <w:tc>
          <w:tcPr>
            <w:tcW w:w="52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23,981</w:t>
            </w: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line="128"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23,981</w:t>
            </w:r>
          </w:p>
        </w:tc>
        <w:tc>
          <w:tcPr>
            <w:tcW w:w="40" w:type="dxa"/>
            <w:vAlign w:val="bottom"/>
          </w:tcPr>
          <w:p>
            <w:pPr>
              <w:spacing w:after="0"/>
              <w:rPr>
                <w:sz w:val="11"/>
                <w:szCs w:val="11"/>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0.25</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300,395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1"/>
                <w:szCs w:val="11"/>
                <w:color w:val="0000FF"/>
              </w:rPr>
              <w:t>Units</w:t>
            </w:r>
            <w:r>
              <w:rPr>
                <w:rFonts w:ascii="Times New Roman" w:cs="Times New Roman" w:eastAsia="Times New Roman" w:hAnsi="Times New Roman"/>
                <w:sz w:val="17"/>
                <w:szCs w:val="17"/>
                <w:color w:val="008000"/>
                <w:vertAlign w:val="superscript"/>
              </w:rPr>
              <w:t>(2)</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6"/>
              </w:rPr>
              <w:t>$.01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jc w:val="center"/>
              <w:ind w:right="317"/>
              <w:spacing w:after="0" w:line="266" w:lineRule="exact"/>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(1)</w:t>
            </w: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restart"/>
          </w:tcPr>
          <w:p>
            <w:pPr>
              <w:jc w:val="center"/>
              <w:ind w:right="19"/>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23,981</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216" w:lineRule="exact"/>
              <w:rPr>
                <w:sz w:val="20"/>
                <w:szCs w:val="20"/>
                <w:color w:val="auto"/>
              </w:rPr>
            </w:pPr>
            <w:r>
              <w:rPr>
                <w:rFonts w:ascii="Times New Roman" w:cs="Times New Roman" w:eastAsia="Times New Roman" w:hAnsi="Times New Roman"/>
                <w:sz w:val="25"/>
                <w:szCs w:val="25"/>
                <w:color w:val="0000FF"/>
                <w:vertAlign w:val="superscript"/>
              </w:rPr>
              <w:t>OP</w:t>
            </w:r>
            <w:r>
              <w:rPr>
                <w:rFonts w:ascii="Times New Roman" w:cs="Times New Roman" w:eastAsia="Times New Roman" w:hAnsi="Times New Roman"/>
                <w:sz w:val="11"/>
                <w:szCs w:val="11"/>
                <w:color w:val="008000"/>
              </w:rPr>
              <w:t xml:space="preserve">  (3)</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23,981</w:t>
            </w:r>
          </w:p>
        </w:tc>
        <w:tc>
          <w:tcPr>
            <w:tcW w:w="500" w:type="dxa"/>
            <w:vAlign w:val="bottom"/>
          </w:tcPr>
          <w:p>
            <w:pPr>
              <w:spacing w:after="0"/>
              <w:rPr>
                <w:sz w:val="7"/>
                <w:szCs w:val="7"/>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(1)(3)</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23,981</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5"/>
              </w:rPr>
              <w:t>$0.01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23,981</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79" w:lineRule="exact"/>
              <w:rPr>
                <w:sz w:val="20"/>
                <w:szCs w:val="20"/>
                <w:color w:val="auto"/>
              </w:rPr>
            </w:pPr>
            <w:r>
              <w:rPr>
                <w:rFonts w:ascii="Times New Roman" w:cs="Times New Roman" w:eastAsia="Times New Roman" w:hAnsi="Times New Roman"/>
                <w:sz w:val="20"/>
                <w:szCs w:val="20"/>
                <w:color w:val="0000FF"/>
                <w:vertAlign w:val="superscript"/>
              </w:rPr>
              <w:t>OP</w:t>
            </w:r>
            <w:r>
              <w:rPr>
                <w:rFonts w:ascii="Times New Roman" w:cs="Times New Roman" w:eastAsia="Times New Roman" w:hAnsi="Times New Roman"/>
                <w:sz w:val="9"/>
                <w:szCs w:val="9"/>
                <w:color w:val="008000"/>
              </w:rPr>
              <w:t xml:space="preserve">  (3)</w:t>
            </w:r>
          </w:p>
        </w:tc>
        <w:tc>
          <w:tcPr>
            <w:tcW w:w="620" w:type="dxa"/>
            <w:vAlign w:val="bottom"/>
          </w:tcPr>
          <w:p>
            <w:pPr>
              <w:ind w:left="320"/>
              <w:spacing w:after="0" w:line="115" w:lineRule="exact"/>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center"/>
              <w:ind w:right="457"/>
              <w:spacing w:after="0"/>
              <w:rPr>
                <w:sz w:val="20"/>
                <w:szCs w:val="20"/>
                <w:color w:val="auto"/>
              </w:rPr>
            </w:pPr>
            <w:r>
              <w:rPr>
                <w:rFonts w:ascii="Times New Roman" w:cs="Times New Roman" w:eastAsia="Times New Roman" w:hAnsi="Times New Roman"/>
                <w:sz w:val="13"/>
                <w:szCs w:val="13"/>
                <w:color w:val="0000FF"/>
                <w:w w:val="91"/>
              </w:rPr>
              <w:t>C</w:t>
            </w:r>
          </w:p>
        </w:tc>
        <w:tc>
          <w:tcPr>
            <w:tcW w:w="520" w:type="dxa"/>
            <w:vAlign w:val="bottom"/>
          </w:tcPr>
          <w:p>
            <w:pPr>
              <w:spacing w:after="0"/>
              <w:rPr>
                <w:sz w:val="9"/>
                <w:szCs w:val="9"/>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23,981</w:t>
            </w:r>
          </w:p>
        </w:tc>
        <w:tc>
          <w:tcPr>
            <w:tcW w:w="780" w:type="dxa"/>
            <w:vAlign w:val="bottom"/>
            <w:gridSpan w:val="2"/>
          </w:tcPr>
          <w:p>
            <w:pPr>
              <w:jc w:val="right"/>
              <w:ind w:right="301"/>
              <w:spacing w:after="0" w:line="115" w:lineRule="exact"/>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line="115" w:lineRule="exact"/>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21"/>
              <w:spacing w:after="0" w:line="115" w:lineRule="exact"/>
              <w:rPr>
                <w:sz w:val="20"/>
                <w:szCs w:val="20"/>
                <w:color w:val="auto"/>
              </w:rPr>
            </w:pPr>
            <w:r>
              <w:rPr>
                <w:rFonts w:ascii="Times New Roman" w:cs="Times New Roman" w:eastAsia="Times New Roman" w:hAnsi="Times New Roman"/>
                <w:sz w:val="11"/>
                <w:szCs w:val="11"/>
                <w:color w:val="008000"/>
                <w:w w:val="93"/>
              </w:rPr>
              <w:t>(1)(3)</w:t>
            </w:r>
          </w:p>
        </w:tc>
        <w:tc>
          <w:tcPr>
            <w:tcW w:w="58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9"/>
                <w:szCs w:val="9"/>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ind w:left="40"/>
              <w:spacing w:after="0" w:line="65" w:lineRule="exact"/>
              <w:rPr>
                <w:sz w:val="20"/>
                <w:szCs w:val="20"/>
                <w:color w:val="auto"/>
              </w:rPr>
            </w:pPr>
            <w:r>
              <w:rPr>
                <w:rFonts w:ascii="Times New Roman" w:cs="Times New Roman" w:eastAsia="Times New Roman" w:hAnsi="Times New Roman"/>
                <w:sz w:val="7"/>
                <w:szCs w:val="7"/>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5"/>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-2776220</wp:posOffset>
            </wp:positionV>
            <wp:extent cx="28575" cy="2781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13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23,981 of the reporting person's units of limited partnership interest ("LTIP Units") in Boston Properties Limited Partnership ("BPLP"), of which the Issuer is the general partner, were converted into common units of limited partnership interest ("Common OP Units") in BPLP by the reporting person and the Common OP Units were redeemed for an equal number of shares of the Issuer's common stock in accordance with BPLP's Partnership Agreement.</w:t>
      </w:r>
    </w:p>
    <w:p>
      <w:pPr>
        <w:spacing w:after="0" w:line="26" w:lineRule="exact"/>
        <w:rPr>
          <w:rFonts w:ascii="Times New Roman" w:cs="Times New Roman" w:eastAsia="Times New Roman" w:hAnsi="Times New Roman"/>
          <w:sz w:val="13"/>
          <w:szCs w:val="13"/>
          <w:color w:val="008000"/>
        </w:rPr>
      </w:pPr>
    </w:p>
    <w:p>
      <w:pPr>
        <w:ind w:left="40" w:right="16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in BPLP issued pursuant to the Issuer's equity based incentive programs. Conditioned upon minimum allocations to the capital accounts of the LTIP Units for federal income tax purposes, each LTIP Unit may be converted, at the election of BPLP or the holder, into a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the Issuer's common stock. LTIP Units have no expiration date.</w:t>
      </w:r>
    </w:p>
    <w:p>
      <w:pPr>
        <w:spacing w:after="0" w:line="26"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OP Units in BPLP. Each Common OP Unit may be presented for redemption, at the election of the holder, for cash equal to the then fair market value of a share of the Issuer's common stock, except that the Issuer may, at its election, acquire each Common OP Unit so presented for redemption for one share of the Issuer's common stock. Common OP Units have no expiration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Kelli A. DiLuglio, as</w:t>
            </w:r>
          </w:p>
        </w:tc>
        <w:tc>
          <w:tcPr>
            <w:tcW w:w="6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9045"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2026-06-04T10:25:34Z</dcterms:created>
  <dcterms:modified xsi:type="dcterms:W3CDTF">2026-06-04T10:25:34Z</dcterms:modified>
</cp:coreProperties>
</file>