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48"/>
        </w:rPr>
      </w:pPr>
      <w:r>
        <w:rPr>
          <w:rFonts w:ascii="Arial;sans-serif" w:hAnsi="Arial;sans-serif"/>
          <w:b/>
          <w:color w:val="000000"/>
          <w:sz w:val="4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March 31, 2026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360" w:after="283"/>
        <w:jc w:val="center"/>
        <w:rPr>
          <w:rFonts w:ascii="Arial;sans-serif" w:hAnsi="Arial;sans-serif"/>
          <w:b/>
          <w:color w:val="000000"/>
          <w:sz w:val="18"/>
        </w:rPr>
      </w:pPr>
      <w:r>
        <w:rPr>
          <w:rFonts w:ascii="Arial;sans-serif" w:hAnsi="Arial;sans-serif"/>
          <w:b/>
          <w:color w:val="000000"/>
          <w:sz w:val="18"/>
        </w:rPr>
        <w:t>Commission File Number: 1-13087 (BXP,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0-50209 (Boston Properties Limited Partnership)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BXP, INC.</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 xml:space="preserve">BOSTON PROPERTIES LIMITED PARTNERSHIP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92"/>
        <w:gridCol w:w="957"/>
        <w:gridCol w:w="971"/>
        <w:gridCol w:w="1404"/>
        <w:gridCol w:w="1404"/>
        <w:gridCol w:w="1419"/>
        <w:gridCol w:w="862"/>
        <w:gridCol w:w="862"/>
        <w:gridCol w:w="1234"/>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BXP, Inc.</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04-2473675</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Boston Properties Limited Partnership</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04-3372948</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200" w:after="283"/>
        <w:jc w:val="center"/>
        <w:rPr>
          <w:rFonts w:ascii="Arial;sans-serif" w:hAnsi="Arial;sans-serif"/>
          <w:b/>
          <w:color w:val="000000"/>
          <w:sz w:val="18"/>
        </w:rPr>
      </w:pPr>
      <w:r>
        <w:rPr>
          <w:rFonts w:ascii="Arial;sans-serif" w:hAnsi="Arial;sans-serif"/>
          <w:b/>
          <w:color w:val="000000"/>
          <w:sz w:val="18"/>
        </w:rPr>
        <w:t xml:space="preserve">Prudential Center, 800 Boylston Street, Suite 1900, Boston, Massachusetts 02199-8103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(617) 236-3300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1038"/>
        <w:gridCol w:w="981"/>
        <w:gridCol w:w="986"/>
        <w:gridCol w:w="109"/>
        <w:gridCol w:w="109"/>
        <w:gridCol w:w="109"/>
        <w:gridCol w:w="497"/>
        <w:gridCol w:w="497"/>
        <w:gridCol w:w="499"/>
        <w:gridCol w:w="109"/>
        <w:gridCol w:w="109"/>
        <w:gridCol w:w="109"/>
        <w:gridCol w:w="1083"/>
        <w:gridCol w:w="1083"/>
        <w:gridCol w:w="153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BXP,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20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120" w:after="283"/>
        <w:ind w:left="0" w:right="0" w:firstLine="450"/>
        <w:jc w:val="left"/>
        <w:rPr/>
      </w:pPr>
      <w:r>
        <w:rPr>
          <w:rFonts w:ascii="Arial;sans-serif" w:hAnsi="Arial;sans-serif"/>
          <w:b w:val="false"/>
          <w:color w:val="000000"/>
          <w:sz w:val="18"/>
        </w:rPr>
        <w:t>BXP, Inc.: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r>
        <w:rPr>
          <w:rFonts w:ascii="Arial;sans-serif" w:hAnsi="Arial;sans-serif"/>
          <w:b w:val="false"/>
          <w:color w:val="000000"/>
          <w:sz w:val="18"/>
        </w:rPr>
        <w:t>Boston Properties Limited Partnership: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120" w:after="283"/>
        <w:ind w:left="0" w:right="0" w:firstLine="450"/>
        <w:jc w:val="left"/>
        <w:rPr/>
      </w:pPr>
      <w:r>
        <w:rPr>
          <w:rFonts w:ascii="Arial;sans-serif" w:hAnsi="Arial;sans-serif"/>
          <w:b w:val="false"/>
          <w:color w:val="000000"/>
          <w:sz w:val="18"/>
        </w:rPr>
        <w:t>BXP, Inc.: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r>
        <w:rPr>
          <w:rFonts w:ascii="Arial;sans-serif" w:hAnsi="Arial;sans-serif"/>
          <w:b w:val="false"/>
          <w:color w:val="000000"/>
          <w:sz w:val="18"/>
        </w:rPr>
        <w:t>Boston Properties Limited Partnership: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p>
    <w:p>
      <w:pPr>
        <w:pStyle w:val="TextBody"/>
        <w:bidi w:val="0"/>
        <w:spacing w:lineRule="auto" w:line="288" w:before="18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BXP, Inc.:     </w:t>
      </w:r>
    </w:p>
    <w:p>
      <w:pPr>
        <w:pStyle w:val="TextBody"/>
        <w:bidi w:val="0"/>
        <w:spacing w:lineRule="auto" w:line="288" w:before="0" w:after="0"/>
        <w:jc w:val="left"/>
        <w:rPr/>
      </w:pPr>
      <w:r>
        <w:rPr>
          <w:rFonts w:ascii="Arial;sans-serif" w:hAnsi="Arial;sans-serif"/>
          <w:b w:val="false"/>
          <w:color w:val="000000"/>
          <w:sz w:val="18"/>
        </w:rPr>
        <w:t>Large accelerated filer  </w:t>
      </w:r>
      <w:r>
        <w:rPr>
          <w:rFonts w:ascii="Wingdings;sans-serif" w:hAnsi="Wingdings;sans-serif"/>
          <w:b w:val="false"/>
          <w:color w:val="000000"/>
          <w:sz w:val="18"/>
        </w:rPr>
        <w:t>x</w:t>
      </w:r>
      <w:r>
        <w:rPr>
          <w:color w:val="000000"/>
        </w:rPr>
        <w:t>         </w:t>
      </w:r>
      <w:r>
        <w:rPr>
          <w:rFonts w:ascii="Arial;sans-serif" w:hAnsi="Arial;sans-serif"/>
          <w:b w:val="false"/>
          <w:color w:val="000000"/>
          <w:sz w:val="18"/>
        </w:rPr>
        <w:t>Accelerated filer  </w:t>
      </w:r>
      <w:r>
        <w:rPr>
          <w:color w:val="000000"/>
        </w:rPr>
        <w:t>☐         </w:t>
      </w:r>
      <w:r>
        <w:rPr>
          <w:rFonts w:ascii="Arial;sans-serif" w:hAnsi="Arial;sans-serif"/>
          <w:b w:val="false"/>
          <w:color w:val="000000"/>
          <w:sz w:val="18"/>
        </w:rPr>
        <w:t>Non-accelerated filer  </w:t>
      </w:r>
      <w:r>
        <w:rPr>
          <w:color w:val="000000"/>
        </w:rPr>
        <w:t>☐         </w:t>
      </w: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12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Boston Properties Limited Partnership: </w:t>
      </w:r>
    </w:p>
    <w:p>
      <w:pPr>
        <w:pStyle w:val="TextBody"/>
        <w:bidi w:val="0"/>
        <w:spacing w:lineRule="auto" w:line="288" w:before="0" w:after="0"/>
        <w:jc w:val="left"/>
        <w:rPr/>
      </w:pPr>
      <w:r>
        <w:rPr>
          <w:rFonts w:ascii="Arial;sans-serif" w:hAnsi="Arial;sans-serif"/>
          <w:b w:val="false"/>
          <w:color w:val="000000"/>
          <w:sz w:val="18"/>
        </w:rPr>
        <w:t xml:space="preserve">Large accelerated filer  ☐         Accelerated filer  ☐         Non-accelerated filer  </w:t>
      </w:r>
      <w:r>
        <w:rPr>
          <w:rFonts w:ascii="Wingdings;sans-serif" w:hAnsi="Wingdings;sans-serif"/>
          <w:b w:val="false"/>
          <w:color w:val="000000"/>
          <w:sz w:val="18"/>
        </w:rPr>
        <w:t>x</w:t>
      </w:r>
      <w:r>
        <w:rPr>
          <w:color w:val="000000"/>
        </w:rPr>
        <w:t>           </w:t>
      </w: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  </w:t>
      </w:r>
      <w:r>
        <w:rPr>
          <w:color w:val="000000"/>
        </w:rPr>
        <w:t xml:space="preserve">☐ </w:t>
      </w:r>
    </w:p>
    <w:p>
      <w:pPr>
        <w:pStyle w:val="TextBody"/>
        <w:bidi w:val="0"/>
        <w:spacing w:lineRule="auto" w:line="288" w:before="18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495"/>
        <w:jc w:val="left"/>
        <w:rPr>
          <w:rFonts w:ascii="Arial;sans-serif" w:hAnsi="Arial;sans-serif"/>
          <w:b w:val="false"/>
          <w:color w:val="000000"/>
          <w:sz w:val="18"/>
        </w:rPr>
      </w:pPr>
      <w:r>
        <w:rPr>
          <w:rFonts w:ascii="Arial;sans-serif" w:hAnsi="Arial;sans-serif"/>
          <w:b w:val="false"/>
          <w:color w:val="000000"/>
          <w:sz w:val="18"/>
        </w:rPr>
        <w:t xml:space="preserve">BXP, Inc. ☐                 Boston Properties Limited Partnership ☐ </w:t>
      </w:r>
    </w:p>
    <w:p>
      <w:pPr>
        <w:pStyle w:val="TextBody"/>
        <w:bidi w:val="0"/>
        <w:spacing w:lineRule="auto" w:line="288" w:before="240" w:after="283"/>
        <w:ind w:left="0" w:right="0" w:firstLine="45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w:t>
      </w:r>
    </w:p>
    <w:p>
      <w:pPr>
        <w:pStyle w:val="TextBody"/>
        <w:bidi w:val="0"/>
        <w:spacing w:lineRule="auto" w:line="288" w:before="120" w:after="283"/>
        <w:ind w:left="0" w:right="0" w:firstLine="450"/>
        <w:jc w:val="left"/>
        <w:rPr/>
      </w:pPr>
      <w:r>
        <w:rPr>
          <w:rFonts w:ascii="Arial;sans-serif" w:hAnsi="Arial;sans-serif"/>
          <w:b w:val="false"/>
          <w:color w:val="000000"/>
          <w:sz w:val="18"/>
        </w:rPr>
        <w:t>BXP, Inc.:    Yes  ☐    No  </w:t>
      </w:r>
      <w:r>
        <w:rPr>
          <w:rFonts w:ascii="Wingdings;sans-serif" w:hAnsi="Wingdings;sans-serif"/>
          <w:b w:val="false"/>
          <w:color w:val="000000"/>
          <w:sz w:val="18"/>
        </w:rPr>
        <w:t>x</w:t>
      </w:r>
      <w:r>
        <w:rPr>
          <w:color w:val="000000"/>
        </w:rPr>
        <w:t>        </w:t>
      </w:r>
      <w:r>
        <w:rPr>
          <w:rFonts w:ascii="Arial;sans-serif" w:hAnsi="Arial;sans-serif"/>
          <w:b w:val="false"/>
          <w:color w:val="000000"/>
          <w:sz w:val="18"/>
        </w:rPr>
        <w:t>Boston Properties Limited Partnership:    Yes  ☐    No  </w:t>
      </w:r>
      <w:r>
        <w:rPr>
          <w:rFonts w:ascii="Wingdings;sans-serif" w:hAnsi="Wingdings;sans-serif"/>
          <w:b w:val="false"/>
          <w:color w:val="000000"/>
          <w:sz w:val="18"/>
        </w:rPr>
        <w:t>x</w:t>
      </w:r>
    </w:p>
    <w:p>
      <w:pPr>
        <w:pStyle w:val="TextBody"/>
        <w:bidi w:val="0"/>
        <w:spacing w:lineRule="auto" w:line="288" w:before="240" w:after="283"/>
        <w:ind w:left="0" w:right="0" w:firstLine="450"/>
        <w:jc w:val="left"/>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tbl>
      <w:tblPr>
        <w:tblW w:w="7454" w:type="dxa"/>
        <w:jc w:val="center"/>
        <w:tblInd w:w="0" w:type="dxa"/>
        <w:tblLayout w:type="fixed"/>
        <w:tblCellMar>
          <w:top w:w="28" w:type="dxa"/>
          <w:left w:w="28" w:type="dxa"/>
          <w:bottom w:w="28" w:type="dxa"/>
          <w:right w:w="28" w:type="dxa"/>
        </w:tblCellMar>
      </w:tblPr>
      <w:tblGrid>
        <w:gridCol w:w="412"/>
        <w:gridCol w:w="362"/>
        <w:gridCol w:w="366"/>
        <w:gridCol w:w="1228"/>
        <w:gridCol w:w="1228"/>
        <w:gridCol w:w="1233"/>
        <w:gridCol w:w="767"/>
        <w:gridCol w:w="767"/>
        <w:gridCol w:w="1091"/>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BXP, Inc.</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$0.01 per share</w:t>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159,477,391</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(Registrant)</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(Class)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(Outstanding on May 1, 2026)</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300"/>
        <w:jc w:val="center"/>
        <w:rPr>
          <w:rFonts w:ascii="Arial;sans-serif" w:hAnsi="Arial;sans-serif"/>
          <w:b/>
          <w:color w:val="000000"/>
          <w:sz w:val="20"/>
          <w:u w:val="single"/>
        </w:rPr>
      </w:pPr>
      <w:r>
        <w:rPr>
          <w:rFonts w:ascii="Arial;sans-serif" w:hAnsi="Arial;sans-serif"/>
          <w:b/>
          <w:color w:val="000000"/>
          <w:sz w:val="20"/>
          <w:u w:val="single"/>
        </w:rPr>
        <w:t>EXPLANATORY NOTE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This report combines the Quarterly Reports on Form 10-Q for the period ended March 31, 2026 of BXP, Inc. and Boston Properties Limited Partnership. Unless stated otherwise or the context otherwise requires, references to “BXP” mean BXP, Inc. (formerly known as Boston Properties, Inc.), a Delaware corporation that has elected to be taxed as a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refer collectively to BXP, BPLP and those subsidiaries consolidated by BXP.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March 31, 2026, BXP owned an approximate 89.4% ownership interest in BPLP. The remaining approximate 10.6% interest was owned by limited partners. The other limited partners of BPLP (1) contributed their direct or indirect interests in properties to BPLP in exchange for common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covenants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 number of common units of BPLP that equals the number of shares of BXP common stock so issued. This structure is commonly referred to as an umbrella partnership REIT, or UPREIT.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believes that combining the Quarterly Reports on Form 10-Q of BXP and BPLP into this single report:</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enhances investors’ understanding of BXP and BPLP by enabling them to view the business as a whole in the same manner as management views and operates the business;</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eliminates duplicative disclosure and provides a more concise and readable presentation because a substantial portion of the disclosure applies to both BXP and BPLP; and</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creates time and cost efficiencies through the preparation of one combined report instead of two separate reports.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noncontrolling interests in BPLP and limited partners of BPLP. The differences between shareholders’ equity and partners’ capital result from differences in the equity issued by each of BXP and BPLP.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$222.1 million, or 1.1% at March 31, 2026,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To help investors better understand the key differences between BXP and BPLP, the following items in this report present information separately for BXP and BPLP:</w:t>
      </w:r>
    </w:p>
    <w:p>
      <w:pPr>
        <w:pStyle w:val="TextBody"/>
        <w:bidi w:val="0"/>
        <w:spacing w:lineRule="auto" w:line="288" w:before="180" w:after="283"/>
        <w:ind w:left="0" w:right="0" w:hanging="360"/>
        <w:jc w:val="left"/>
        <w:rPr/>
      </w:pPr>
      <w:r>
        <w:rPr>
          <w:color w:val="000000"/>
        </w:rPr>
        <w:t xml:space="preserve">• </w:t>
      </w:r>
      <w:r>
        <w:rPr>
          <w:rFonts w:ascii="Arial;sans-serif" w:hAnsi="Arial;sans-serif"/>
          <w:b w:val="false"/>
          <w:color w:val="000000"/>
          <w:sz w:val="20"/>
        </w:rPr>
        <w:t>Item 1. Financial Statements (unaudited), which includes the following specific disclosures for BXP and BPLP:</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Note 3. Real Estate;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Note 10. Stockholders’ Equity / Partners’ Capital;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Note 11. Segment Information;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Note 12. Earnings Per Share / Common Unit; and</w:t>
      </w:r>
    </w:p>
    <w:p>
      <w:pPr>
        <w:pStyle w:val="TextBody"/>
        <w:bidi w:val="0"/>
        <w:spacing w:lineRule="auto" w:line="288" w:before="180" w:after="283"/>
        <w:ind w:left="0" w:right="0" w:hanging="360"/>
        <w:jc w:val="left"/>
        <w:rPr/>
      </w:pPr>
      <w:r>
        <w:rPr>
          <w:color w:val="000000"/>
        </w:rPr>
        <w:t xml:space="preserve">• </w:t>
      </w:r>
      <w:r>
        <w:rPr>
          <w:rFonts w:ascii="Arial;sans-serif" w:hAnsi="Arial;sans-serif"/>
          <w:b w:val="false"/>
          <w:color w:val="000000"/>
          <w:sz w:val="20"/>
        </w:rPr>
        <w:t>Item 2. Management’s Discussion and Analysis of Financial Condition and Results of Operations and Liquidity and Capital Resources, includes information specific to each entity, where applicable.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This report also includes separate Part I - Item 4. Controls and Procedures and Part II - Item 2. Unregistered Sales of Equity Securities and Use of Proceeds sections for each of BXP and BPLP, as well as separate Exhibits 31 and 32 certifications for each of BXP and BPLP. </w:t>
      </w:r>
    </w:p>
    <w:p>
      <w:pPr>
        <w:pStyle w:val="TextBody"/>
        <w:bidi w:val="0"/>
        <w:spacing w:before="18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BXP, INC. AND BOSTON PROPERTIES LIMITED PARTNERSHIP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 ended March 31, 2026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80"/>
        <w:gridCol w:w="462"/>
        <w:gridCol w:w="462"/>
        <w:gridCol w:w="2785"/>
        <w:gridCol w:w="2653"/>
        <w:gridCol w:w="2644"/>
        <w:gridCol w:w="180"/>
        <w:gridCol w:w="180"/>
        <w:gridCol w:w="259"/>
      </w:tblGrid>
      <w:tr>
        <w:trPr/>
        <w:tc>
          <w:tcPr>
            <w:tcW w:w="58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73">
              <w:r>
                <w:rPr>
                  <w:rStyle w:val="InternetLink"/>
                  <w:rFonts w:ascii="Arial;sans-serif" w:hAnsi="Arial;sans-serif"/>
                  <w:b/>
                  <w:color w:val="0000FF"/>
                  <w:sz w:val="20"/>
                  <w:u w:val="single"/>
                </w:rPr>
                <w:t>PART I. FINANCIAL INFORMATION</w:t>
              </w:r>
            </w:hyperlink>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223">
              <w:r>
                <w:rPr>
                  <w:rStyle w:val="InternetLink"/>
                  <w:rFonts w:ascii="Arial;sans-serif" w:hAnsi="Arial;sans-serif"/>
                  <w:b w:val="false"/>
                  <w:color w:val="0000FF"/>
                  <w:sz w:val="20"/>
                  <w:u w:val="single"/>
                </w:rPr>
                <w:t>Financial Statements (unaudited)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23">
              <w:r>
                <w:rPr>
                  <w:rStyle w:val="InternetLink"/>
                  <w:rFonts w:ascii="Arial;sans-serif" w:hAnsi="Arial;sans-serif"/>
                  <w:b w:val="false"/>
                  <w:color w:val="0000FF"/>
                  <w:sz w:val="20"/>
                  <w:u w:val="single"/>
                </w:rPr>
                <w:t>1</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 Inc.</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226">
              <w:r>
                <w:rPr>
                  <w:rStyle w:val="InternetLink"/>
                  <w:rFonts w:ascii="Arial;sans-serif" w:hAnsi="Arial;sans-serif"/>
                  <w:b w:val="false"/>
                  <w:color w:val="0000FF"/>
                  <w:sz w:val="20"/>
                  <w:u w:val="single"/>
                </w:rPr>
                <w:t>a) Consolidated Balance Sheets as of March 31, 2026 and December 31,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26">
              <w:r>
                <w:rPr>
                  <w:rStyle w:val="InternetLink"/>
                  <w:rFonts w:ascii="Arial;sans-serif" w:hAnsi="Arial;sans-serif"/>
                  <w:b w:val="false"/>
                  <w:color w:val="0000FF"/>
                  <w:sz w:val="20"/>
                  <w:u w:val="single"/>
                </w:rPr>
                <w:t>1</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25afafb06e54f269e8b49ae4cdb689a_229">
              <w:r>
                <w:rPr>
                  <w:rStyle w:val="InternetLink"/>
                  <w:rFonts w:ascii="Arial;sans-serif" w:hAnsi="Arial;sans-serif"/>
                  <w:b w:val="false"/>
                  <w:color w:val="0000FF"/>
                  <w:sz w:val="20"/>
                  <w:u w:val="single"/>
                </w:rPr>
                <w:t>b) Consolidated Statements of Operations for the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29">
              <w:r>
                <w:rPr>
                  <w:rStyle w:val="InternetLink"/>
                  <w:rFonts w:ascii="Arial;sans-serif" w:hAnsi="Arial;sans-serif"/>
                  <w:b w:val="false"/>
                  <w:color w:val="0000FF"/>
                  <w:sz w:val="20"/>
                  <w:u w:val="single"/>
                </w:rPr>
                <w:t>3</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25afafb06e54f269e8b49ae4cdb689a_232">
              <w:r>
                <w:rPr>
                  <w:rStyle w:val="InternetLink"/>
                  <w:rFonts w:ascii="Arial;sans-serif" w:hAnsi="Arial;sans-serif"/>
                  <w:b w:val="false"/>
                  <w:color w:val="000080"/>
                  <w:sz w:val="20"/>
                  <w:u w:val="single"/>
                </w:rPr>
                <w:t>c) Consolidated Statements of Comprehensive Income</w:t>
              </w:r>
            </w:hyperlink>
            <w:hyperlink w:anchor="i425afafb06e54f269e8b49ae4cdb689a_232">
              <w:r>
                <w:rPr>
                  <w:rStyle w:val="InternetLink"/>
                  <w:rFonts w:ascii="Arial;sans-serif" w:hAnsi="Arial;sans-serif"/>
                  <w:b w:val="false"/>
                  <w:color w:val="000080"/>
                  <w:sz w:val="20"/>
                  <w:u w:val="single"/>
                </w:rPr>
                <w:t xml:space="preserve"> for the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32">
              <w:r>
                <w:rPr>
                  <w:rStyle w:val="InternetLink"/>
                  <w:rFonts w:ascii="Arial;sans-serif" w:hAnsi="Arial;sans-serif"/>
                  <w:b w:val="false"/>
                  <w:color w:val="0000FF"/>
                  <w:sz w:val="20"/>
                  <w:u w:val="single"/>
                </w:rPr>
                <w:t>4</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25afafb06e54f269e8b49ae4cdb689a_238">
              <w:r>
                <w:rPr>
                  <w:rStyle w:val="InternetLink"/>
                  <w:rFonts w:ascii="Arial;sans-serif" w:hAnsi="Arial;sans-serif"/>
                  <w:b w:val="false"/>
                  <w:color w:val="0000FF"/>
                  <w:sz w:val="20"/>
                  <w:u w:val="single"/>
                </w:rPr>
                <w:t>d) Consolidated Statements of Equity for the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38">
              <w:r>
                <w:rPr>
                  <w:rStyle w:val="InternetLink"/>
                  <w:rFonts w:ascii="Arial;sans-serif" w:hAnsi="Arial;sans-serif"/>
                  <w:b w:val="false"/>
                  <w:color w:val="0000FF"/>
                  <w:sz w:val="20"/>
                  <w:u w:val="single"/>
                </w:rPr>
                <w:t>5</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25afafb06e54f269e8b49ae4cdb689a_241">
              <w:r>
                <w:rPr>
                  <w:rStyle w:val="InternetLink"/>
                  <w:rFonts w:ascii="Arial;sans-serif" w:hAnsi="Arial;sans-serif"/>
                  <w:b w:val="false"/>
                  <w:color w:val="0000FF"/>
                  <w:sz w:val="20"/>
                  <w:u w:val="single"/>
                </w:rPr>
                <w:t>e) Consolidated Statements of Cash Flows for the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41">
              <w:r>
                <w:rPr>
                  <w:rStyle w:val="InternetLink"/>
                  <w:rFonts w:ascii="Arial;sans-serif" w:hAnsi="Arial;sans-serif"/>
                  <w:b w:val="false"/>
                  <w:color w:val="0000FF"/>
                  <w:sz w:val="20"/>
                  <w:u w:val="single"/>
                </w:rPr>
                <w:t>6</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Limited Partnership</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256">
              <w:r>
                <w:rPr>
                  <w:rStyle w:val="InternetLink"/>
                  <w:rFonts w:ascii="Arial;sans-serif" w:hAnsi="Arial;sans-serif"/>
                  <w:b w:val="false"/>
                  <w:color w:val="0000FF"/>
                  <w:sz w:val="20"/>
                  <w:u w:val="single"/>
                </w:rPr>
                <w:t>a) Consolidated Balance Sheets as of March 31, 2026 and December 31,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56">
              <w:r>
                <w:rPr>
                  <w:rStyle w:val="InternetLink"/>
                  <w:rFonts w:ascii="Arial;sans-serif" w:hAnsi="Arial;sans-serif"/>
                  <w:b w:val="false"/>
                  <w:color w:val="0000FF"/>
                  <w:sz w:val="20"/>
                  <w:u w:val="single"/>
                </w:rPr>
                <w:t>8</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25afafb06e54f269e8b49ae4cdb689a_259">
              <w:r>
                <w:rPr>
                  <w:rStyle w:val="InternetLink"/>
                  <w:rFonts w:ascii="Arial;sans-serif" w:hAnsi="Arial;sans-serif"/>
                  <w:b w:val="false"/>
                  <w:color w:val="0000FF"/>
                  <w:sz w:val="20"/>
                  <w:u w:val="single"/>
                </w:rPr>
                <w:t>b) Consolidated Statements of Operations for the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59">
              <w:r>
                <w:rPr>
                  <w:rStyle w:val="InternetLink"/>
                  <w:rFonts w:ascii="Arial;sans-serif" w:hAnsi="Arial;sans-serif"/>
                  <w:b w:val="false"/>
                  <w:color w:val="0000FF"/>
                  <w:sz w:val="20"/>
                  <w:u w:val="single"/>
                </w:rPr>
                <w:t>10</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25afafb06e54f269e8b49ae4cdb689a_262">
              <w:r>
                <w:rPr>
                  <w:rStyle w:val="InternetLink"/>
                  <w:rFonts w:ascii="Arial;sans-serif" w:hAnsi="Arial;sans-serif"/>
                  <w:b w:val="false"/>
                  <w:color w:val="000080"/>
                  <w:sz w:val="20"/>
                  <w:u w:val="single"/>
                </w:rPr>
                <w:t>c) Consolidated Statements of Comprehensive Income</w:t>
              </w:r>
            </w:hyperlink>
            <w:hyperlink w:anchor="i425afafb06e54f269e8b49ae4cdb689a_262">
              <w:r>
                <w:rPr>
                  <w:rStyle w:val="InternetLink"/>
                  <w:rFonts w:ascii="Arial;sans-serif" w:hAnsi="Arial;sans-serif"/>
                  <w:b w:val="false"/>
                  <w:color w:val="000080"/>
                  <w:sz w:val="20"/>
                  <w:u w:val="single"/>
                </w:rPr>
                <w:t xml:space="preserve"> </w:t>
              </w:r>
            </w:hyperlink>
            <w:hyperlink w:anchor="i425afafb06e54f269e8b49ae4cdb689a_262">
              <w:r>
                <w:rPr>
                  <w:rStyle w:val="InternetLink"/>
                  <w:rFonts w:ascii="Arial;sans-serif" w:hAnsi="Arial;sans-serif"/>
                  <w:b w:val="false"/>
                  <w:color w:val="000080"/>
                  <w:sz w:val="20"/>
                  <w:u w:val="single"/>
                </w:rPr>
                <w:t>for the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62">
              <w:r>
                <w:rPr>
                  <w:rStyle w:val="InternetLink"/>
                  <w:rFonts w:ascii="Arial;sans-serif" w:hAnsi="Arial;sans-serif"/>
                  <w:b w:val="false"/>
                  <w:color w:val="0000FF"/>
                  <w:sz w:val="20"/>
                  <w:u w:val="single"/>
                </w:rPr>
                <w:t>11</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25afafb06e54f269e8b49ae4cdb689a_268">
              <w:r>
                <w:rPr>
                  <w:rStyle w:val="InternetLink"/>
                  <w:rFonts w:ascii="Arial;sans-serif" w:hAnsi="Arial;sans-serif"/>
                  <w:b w:val="false"/>
                  <w:color w:val="0000FF"/>
                  <w:sz w:val="20"/>
                  <w:u w:val="single"/>
                </w:rPr>
                <w:t>d) Consolidated Statements of Capital and Noncontrolling Interests for the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68">
              <w:r>
                <w:rPr>
                  <w:rStyle w:val="InternetLink"/>
                  <w:rFonts w:ascii="Arial;sans-serif" w:hAnsi="Arial;sans-serif"/>
                  <w:b w:val="false"/>
                  <w:color w:val="0000FF"/>
                  <w:sz w:val="20"/>
                  <w:u w:val="single"/>
                </w:rPr>
                <w:t>12</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425afafb06e54f269e8b49ae4cdb689a_271">
              <w:r>
                <w:rPr>
                  <w:rStyle w:val="InternetLink"/>
                  <w:rFonts w:ascii="Arial;sans-serif" w:hAnsi="Arial;sans-serif"/>
                  <w:b w:val="false"/>
                  <w:color w:val="0000FF"/>
                  <w:sz w:val="20"/>
                  <w:u w:val="single"/>
                </w:rPr>
                <w:t>e) Consolidated Statements of Cash Flows for the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71">
              <w:r>
                <w:rPr>
                  <w:rStyle w:val="InternetLink"/>
                  <w:rFonts w:ascii="Arial;sans-serif" w:hAnsi="Arial;sans-serif"/>
                  <w:b w:val="false"/>
                  <w:color w:val="0000FF"/>
                  <w:sz w:val="20"/>
                  <w:u w:val="single"/>
                </w:rPr>
                <w:t>13</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 Inc. and Boston Properties Limited Partnership</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277">
              <w:r>
                <w:rPr>
                  <w:rStyle w:val="InternetLink"/>
                  <w:rFonts w:ascii="Arial;sans-serif" w:hAnsi="Arial;sans-serif"/>
                  <w:b w:val="false"/>
                  <w:color w:val="0000FF"/>
                  <w:sz w:val="20"/>
                  <w:u w:val="single"/>
                </w:rPr>
                <w:t>Notes to the Consolidated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77">
              <w:r>
                <w:rPr>
                  <w:rStyle w:val="InternetLink"/>
                  <w:rFonts w:ascii="Arial;sans-serif" w:hAnsi="Arial;sans-serif"/>
                  <w:b w:val="false"/>
                  <w:color w:val="0000FF"/>
                  <w:sz w:val="20"/>
                  <w:u w:val="single"/>
                </w:rPr>
                <w:t>15</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136">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136">
              <w:r>
                <w:rPr>
                  <w:rStyle w:val="InternetLink"/>
                  <w:rFonts w:ascii="Arial;sans-serif" w:hAnsi="Arial;sans-serif"/>
                  <w:b w:val="false"/>
                  <w:color w:val="0000FF"/>
                  <w:sz w:val="20"/>
                  <w:u w:val="single"/>
                </w:rPr>
                <w:t>36</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202">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202">
              <w:r>
                <w:rPr>
                  <w:rStyle w:val="InternetLink"/>
                  <w:rFonts w:ascii="Arial;sans-serif" w:hAnsi="Arial;sans-serif"/>
                  <w:b w:val="false"/>
                  <w:color w:val="0000FF"/>
                  <w:sz w:val="20"/>
                  <w:u w:val="single"/>
                </w:rPr>
                <w:t>69</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49">
              <w:r>
                <w:rPr>
                  <w:rStyle w:val="InternetLink"/>
                  <w:rFonts w:ascii="Arial;sans-serif" w:hAnsi="Arial;sans-serif"/>
                  <w:b w:val="false"/>
                  <w:color w:val="0000FF"/>
                  <w:sz w:val="20"/>
                  <w:u w:val="singl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49">
              <w:r>
                <w:rPr>
                  <w:rStyle w:val="InternetLink"/>
                  <w:rFonts w:ascii="Arial;sans-serif" w:hAnsi="Arial;sans-serif"/>
                  <w:b w:val="false"/>
                  <w:color w:val="0000FF"/>
                  <w:sz w:val="20"/>
                  <w:u w:val="single"/>
                </w:rPr>
                <w:t>70</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28">
              <w:r>
                <w:rPr>
                  <w:rStyle w:val="InternetLink"/>
                  <w:rFonts w:ascii="Arial;sans-serif" w:hAnsi="Arial;sans-serif"/>
                  <w:b/>
                  <w:color w:val="0000FF"/>
                  <w:sz w:val="20"/>
                  <w:u w:val="single"/>
                </w:rPr>
                <w:t>PART II. 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31">
              <w:r>
                <w:rPr>
                  <w:rStyle w:val="InternetLink"/>
                  <w:rFonts w:ascii="Arial;sans-serif" w:hAnsi="Arial;sans-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31">
              <w:r>
                <w:rPr>
                  <w:rStyle w:val="InternetLink"/>
                  <w:rFonts w:ascii="Arial;sans-serif" w:hAnsi="Arial;sans-serif"/>
                  <w:b w:val="false"/>
                  <w:color w:val="0000FF"/>
                  <w:sz w:val="20"/>
                  <w:u w:val="single"/>
                </w:rPr>
                <w:t>71</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34">
              <w:r>
                <w:rPr>
                  <w:rStyle w:val="InternetLink"/>
                  <w:rFonts w:ascii="Arial;sans-serif" w:hAnsi="Arial;sans-serif"/>
                  <w:b w:val="false"/>
                  <w:color w:val="0000FF"/>
                  <w:sz w:val="20"/>
                  <w:u w:val="singl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34">
              <w:r>
                <w:rPr>
                  <w:rStyle w:val="InternetLink"/>
                  <w:rFonts w:ascii="Arial;sans-serif" w:hAnsi="Arial;sans-serif"/>
                  <w:b w:val="false"/>
                  <w:color w:val="0000FF"/>
                  <w:sz w:val="20"/>
                  <w:u w:val="single"/>
                </w:rPr>
                <w:t>71</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37">
              <w:r>
                <w:rPr>
                  <w:rStyle w:val="InternetLink"/>
                  <w:rFonts w:ascii="Arial;sans-serif" w:hAnsi="Arial;sans-serif"/>
                  <w:b w:val="false"/>
                  <w:color w:val="0000FF"/>
                  <w:sz w:val="20"/>
                  <w:u w:val="singl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37">
              <w:r>
                <w:rPr>
                  <w:rStyle w:val="InternetLink"/>
                  <w:rFonts w:ascii="Arial;sans-serif" w:hAnsi="Arial;sans-serif"/>
                  <w:b w:val="false"/>
                  <w:color w:val="0000FF"/>
                  <w:sz w:val="20"/>
                  <w:u w:val="single"/>
                </w:rPr>
                <w:t>71</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40">
              <w:r>
                <w:rPr>
                  <w:rStyle w:val="InternetLink"/>
                  <w:rFonts w:ascii="Arial;sans-serif" w:hAnsi="Arial;sans-serif"/>
                  <w:b w:val="false"/>
                  <w:color w:val="0000FF"/>
                  <w:sz w:val="20"/>
                  <w:u w:val="single"/>
                </w:rPr>
                <w:t>Defaults Upon Senior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40">
              <w:r>
                <w:rPr>
                  <w:rStyle w:val="InternetLink"/>
                  <w:rFonts w:ascii="Arial;sans-serif" w:hAnsi="Arial;sans-serif"/>
                  <w:b w:val="false"/>
                  <w:color w:val="0000FF"/>
                  <w:sz w:val="20"/>
                  <w:u w:val="single"/>
                </w:rPr>
                <w:t>72</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43">
              <w:r>
                <w:rPr>
                  <w:rStyle w:val="InternetLink"/>
                  <w:rFonts w:ascii="Arial;sans-serif" w:hAnsi="Arial;sans-serif"/>
                  <w:b w:val="false"/>
                  <w:color w:val="0000FF"/>
                  <w:sz w:val="20"/>
                  <w:u w:val="singl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43">
              <w:r>
                <w:rPr>
                  <w:rStyle w:val="InternetLink"/>
                  <w:rFonts w:ascii="Arial;sans-serif" w:hAnsi="Arial;sans-serif"/>
                  <w:b w:val="false"/>
                  <w:color w:val="0000FF"/>
                  <w:sz w:val="20"/>
                  <w:u w:val="single"/>
                </w:rPr>
                <w:t>72</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46">
              <w:r>
                <w:rPr>
                  <w:rStyle w:val="InternetLink"/>
                  <w:rFonts w:ascii="Arial;sans-serif" w:hAnsi="Arial;sans-serif"/>
                  <w:b w:val="false"/>
                  <w:color w:val="0000FF"/>
                  <w:sz w:val="20"/>
                  <w:u w:val="singl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46">
              <w:r>
                <w:rPr>
                  <w:rStyle w:val="InternetLink"/>
                  <w:rFonts w:ascii="Arial;sans-serif" w:hAnsi="Arial;sans-serif"/>
                  <w:b w:val="false"/>
                  <w:color w:val="0000FF"/>
                  <w:sz w:val="20"/>
                  <w:u w:val="single"/>
                </w:rPr>
                <w:t>72</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52">
              <w:r>
                <w:rPr>
                  <w:rStyle w:val="InternetLink"/>
                  <w:rFonts w:ascii="Arial;sans-serif" w:hAnsi="Arial;sans-serif"/>
                  <w:b w:val="false"/>
                  <w:color w:val="0000FF"/>
                  <w:sz w:val="20"/>
                  <w:u w:val="single"/>
                </w:rPr>
                <w:t>Exhibits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52">
              <w:r>
                <w:rPr>
                  <w:rStyle w:val="InternetLink"/>
                  <w:rFonts w:ascii="Arial;sans-serif" w:hAnsi="Arial;sans-serif"/>
                  <w:b w:val="false"/>
                  <w:color w:val="0000FF"/>
                  <w:sz w:val="20"/>
                  <w:u w:val="single"/>
                </w:rPr>
                <w:t>73</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25afafb06e54f269e8b49ae4cdb689a_55">
              <w:r>
                <w:rPr>
                  <w:rStyle w:val="InternetLink"/>
                  <w:rFonts w:ascii="Arial;sans-serif" w:hAnsi="Arial;sans-serif"/>
                  <w:b/>
                  <w:color w:val="0000FF"/>
                  <w:sz w:val="20"/>
                  <w:u w:val="singl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afafb06e54f269e8b49ae4cdb689a_55">
              <w:r>
                <w:rPr>
                  <w:rStyle w:val="InternetLink"/>
                  <w:rFonts w:ascii="Arial;sans-serif" w:hAnsi="Arial;sans-serif"/>
                  <w:b w:val="false"/>
                  <w:color w:val="0000FF"/>
                  <w:sz w:val="20"/>
                  <w:u w:val="single"/>
                </w:rPr>
                <w:t>74</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val="false"/>
          <w:color w:val="001A33"/>
          <w:sz w:val="28"/>
          <w:shd w:fill="FFFFFF" w:val="clear"/>
        </w:rPr>
      </w:pPr>
      <w:r>
        <w:rPr>
          <w:rFonts w:ascii="Arial;sans-serif" w:hAnsi="Arial;sans-serif"/>
          <w:b w:val="false"/>
          <w:color w:val="001A33"/>
          <w:sz w:val="28"/>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sans-serif" w:hAnsi="Arial;sans-serif"/>
          <w:b w:val="false"/>
          <w:color w:val="32A7DC"/>
          <w:sz w:val="28"/>
          <w:shd w:fill="FFFFFF" w:val="clear"/>
        </w:rPr>
        <w:t>ITEM 1—Financial Statements.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260"/>
        <w:gridCol w:w="1730"/>
        <w:gridCol w:w="1748"/>
        <w:gridCol w:w="138"/>
        <w:gridCol w:w="138"/>
        <w:gridCol w:w="138"/>
        <w:gridCol w:w="269"/>
        <w:gridCol w:w="1379"/>
        <w:gridCol w:w="138"/>
        <w:gridCol w:w="138"/>
        <w:gridCol w:w="138"/>
        <w:gridCol w:w="138"/>
        <w:gridCol w:w="269"/>
        <w:gridCol w:w="1379"/>
        <w:gridCol w:w="205"/>
      </w:tblGrid>
      <w:tr>
        <w:trPr/>
        <w:tc>
          <w:tcPr>
            <w:tcW w:w="22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BXP,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120"/>
              <w:jc w:val="center"/>
              <w:rPr>
                <w:rFonts w:ascii="Arial;sans-serif" w:hAnsi="Arial;sans-serif"/>
                <w:b/>
                <w:color w:val="000000"/>
                <w:sz w:val="20"/>
              </w:rPr>
            </w:pPr>
            <w:r>
              <w:rPr>
                <w:rFonts w:ascii="Arial;sans-serif" w:hAnsi="Arial;sans-serif"/>
                <w:b/>
                <w:color w:val="000000"/>
                <w:sz w:val="20"/>
              </w:rPr>
              <w:t>(unaudited and in thousands, except for share and par value amounts)</w:t>
            </w:r>
          </w:p>
        </w:tc>
      </w:tr>
      <w:tr>
        <w:trPr/>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Real estate, at cost (amounts related to variable interest entities (“VIEs”) of $8,083,218 and $8,005,124 at March 31,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28,375,492 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28,241,879 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finance leases (amounts related to VIEs of $21,000 and $21,000 at March 31,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372,470 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Right of use assets - operating leases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321,030 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Less: accumulated depreciation (amounts related to VIEs of $(1,805,748) and $(1,763,988) at March 31,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(8,170,334)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(8,040,311)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20,898,664 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20,899,879 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and cash equivalents (amounts related to VIEs of $193,689 and $255,631 at March 31,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512,783 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1,478,206 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held in escrows (amounts related to VIEs of $5,381 and $10,319 at March 31,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44,614 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Tenant and other receivables, net (amounts related to VIEs of $38,754 and $30,989 at March 31,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 receivable,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notes receivable, net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Sales-type lease receivable,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rental income, net (amounts related to VIEs of $474,838 and $470,734 at March 31,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1,558,226 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1,538,515 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Deferred charges, net (amounts related to VIEs of $202,275 and $204,924 at March 31,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847,690 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Prepaid expenses and other assets (amounts related to VIEs of $48,202 and $14,509 at March 31,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joint ventures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999,309 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25,102,250 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26,166,164 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EQUITY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Mortgage notes payable, net (amounts related to VIEs of $3,288,081 and $3,286,870 at March 31,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4,280,639 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4,280,067 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8,808,674 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9,806,100 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exchangeable senior notes, net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977,387 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976,263 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line of credit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term loans, net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797,053 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commercial paper</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Lease liabilities - finance leases (amounts related to VIEs of $21,106 and $21,074 at March 31,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357,039 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360,039 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Lease liabilities - operating leases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389,213 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Accounts payable and accrued expenses (amounts related to VIEs of $80,255 and $88,849 at March 31,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418,443 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125,345 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Other liabilities (amounts related to VIEs of $85,594 and $95,209 at March 31,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352,813 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386,074 </w:t>
            </w:r>
          </w:p>
        </w:tc>
        <w:tc>
          <w:tcPr>
            <w:tcW w:w="2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left"/>
        <w:tblInd w:w="0" w:type="dxa"/>
        <w:tblLayout w:type="fixed"/>
        <w:tblCellMar>
          <w:top w:w="28" w:type="dxa"/>
          <w:left w:w="28" w:type="dxa"/>
          <w:bottom w:w="28" w:type="dxa"/>
          <w:right w:w="28" w:type="dxa"/>
        </w:tblCellMar>
      </w:tblPr>
      <w:tblGrid>
        <w:gridCol w:w="2210"/>
        <w:gridCol w:w="1875"/>
        <w:gridCol w:w="1859"/>
        <w:gridCol w:w="132"/>
        <w:gridCol w:w="132"/>
        <w:gridCol w:w="132"/>
        <w:gridCol w:w="256"/>
        <w:gridCol w:w="1315"/>
        <w:gridCol w:w="132"/>
        <w:gridCol w:w="132"/>
        <w:gridCol w:w="132"/>
        <w:gridCol w:w="132"/>
        <w:gridCol w:w="256"/>
        <w:gridCol w:w="1315"/>
        <w:gridCol w:w="195"/>
      </w:tblGrid>
      <w:tr>
        <w:trPr/>
        <w:tc>
          <w:tcPr>
            <w:tcW w:w="221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BXP,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120"/>
              <w:jc w:val="center"/>
              <w:rPr>
                <w:rFonts w:ascii="Arial;sans-serif" w:hAnsi="Arial;sans-serif"/>
                <w:b/>
                <w:color w:val="000000"/>
                <w:sz w:val="20"/>
              </w:rPr>
            </w:pPr>
            <w:r>
              <w:rPr>
                <w:rFonts w:ascii="Arial;sans-serif" w:hAnsi="Arial;sans-serif"/>
                <w:b/>
                <w:color w:val="000000"/>
                <w:sz w:val="20"/>
              </w:rPr>
              <w:t>(unaudited and in thousands, except for share and par value amounts)</w:t>
            </w:r>
          </w:p>
        </w:tc>
      </w:tr>
      <w:tr>
        <w:trPr/>
        <w:tc>
          <w:tcPr>
            <w:tcW w:w="5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17,377,871 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18,473,924 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(See Note 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deferred stock units— 116,733 and 111,701 units outstanding at redemption value at March 31, 2026 and December 31, 2025, respectively</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attributable to BXP, Inc.:</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Excess stock, $0.01 par value, 150,000,000 shares authorized, none issued or outstanding</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Preferred stock, $0.01 par value, 50,000,000 shares authorized, none issued or outstanding</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Common stock, $0.01 par value, 250,000,000 shares authorized, 158,754,863 and 158,627,198 issued and 158,675,963 and 158,548,298 outstanding at March 31, 2026 and December 31, 2025, respectively</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6,843,822 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6,836,243 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in excess of earnings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(1,684,492)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(1,674,995)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Treasury common stock at cost, 78,900 shares at March 31, 2026 and December 31, 2025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attributable to BXP, Inc.</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5,152,113 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5,147,190 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units of Boston Properties Limited Partnership</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583,922 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566,563 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partnerships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1,982,286 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1,970,949 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7,718,321 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7,684,702 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25,102,250 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26,166,164 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BXP,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 except for per share amounts)</w:t>
      </w:r>
    </w:p>
    <w:tbl>
      <w:tblPr>
        <w:tblW w:w="10205" w:type="dxa"/>
        <w:jc w:val="left"/>
        <w:tblInd w:w="0" w:type="dxa"/>
        <w:tblLayout w:type="fixed"/>
        <w:tblCellMar>
          <w:top w:w="28" w:type="dxa"/>
          <w:left w:w="28" w:type="dxa"/>
          <w:bottom w:w="28" w:type="dxa"/>
          <w:right w:w="28" w:type="dxa"/>
        </w:tblCellMar>
      </w:tblPr>
      <w:tblGrid>
        <w:gridCol w:w="2466"/>
        <w:gridCol w:w="2149"/>
        <w:gridCol w:w="2155"/>
        <w:gridCol w:w="220"/>
        <w:gridCol w:w="862"/>
        <w:gridCol w:w="113"/>
        <w:gridCol w:w="113"/>
        <w:gridCol w:w="113"/>
        <w:gridCol w:w="113"/>
        <w:gridCol w:w="220"/>
        <w:gridCol w:w="862"/>
        <w:gridCol w:w="113"/>
        <w:gridCol w:w="109"/>
        <w:gridCol w:w="109"/>
        <w:gridCol w:w="109"/>
        <w:gridCol w:w="109"/>
        <w:gridCol w:w="109"/>
        <w:gridCol w:w="161"/>
      </w:tblGrid>
      <w:tr>
        <w:trPr/>
        <w:tc>
          <w:tcPr>
            <w:tcW w:w="246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6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Parking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management services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872,148 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865,215 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644,371 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616,801 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from investments in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 of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86,905 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101,576 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61,177 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earnings per common share attributable to BXP, Inc. </w:t>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 outstanding</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common share attributable to BXP, Inc. </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common and common equivalent shares outstanding</w:t>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159,056 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158,632 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BXP,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28"/>
        <w:gridCol w:w="2046"/>
        <w:gridCol w:w="2062"/>
        <w:gridCol w:w="109"/>
        <w:gridCol w:w="109"/>
        <w:gridCol w:w="109"/>
        <w:gridCol w:w="224"/>
        <w:gridCol w:w="912"/>
        <w:gridCol w:w="115"/>
        <w:gridCol w:w="115"/>
        <w:gridCol w:w="115"/>
        <w:gridCol w:w="115"/>
        <w:gridCol w:w="224"/>
        <w:gridCol w:w="800"/>
        <w:gridCol w:w="115"/>
        <w:gridCol w:w="109"/>
        <w:gridCol w:w="109"/>
        <w:gridCol w:w="109"/>
        <w:gridCol w:w="109"/>
        <w:gridCol w:w="109"/>
        <w:gridCol w:w="162"/>
      </w:tblGrid>
      <w:tr>
        <w:trPr/>
        <w:tc>
          <w:tcPr>
            <w:tcW w:w="2328"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6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interest rate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140,755 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108,415 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51,870 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(1)Amounts reclassified from comprehensive income (loss) primarily to interest expense within BXP, Inc.’s Consolidated Statements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3982" w:type="dxa"/>
        <w:jc w:val="center"/>
        <w:tblInd w:w="0" w:type="dxa"/>
        <w:tblLayout w:type="fixed"/>
        <w:tblCellMar>
          <w:top w:w="28" w:type="dxa"/>
          <w:left w:w="28" w:type="dxa"/>
          <w:bottom w:w="28" w:type="dxa"/>
          <w:right w:w="28" w:type="dxa"/>
        </w:tblCellMar>
      </w:tblPr>
      <w:tblGrid>
        <w:gridCol w:w="733"/>
        <w:gridCol w:w="196"/>
        <w:gridCol w:w="197"/>
        <w:gridCol w:w="368"/>
        <w:gridCol w:w="368"/>
        <w:gridCol w:w="216"/>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196"/>
        <w:gridCol w:w="571"/>
        <w:gridCol w:w="109"/>
        <w:gridCol w:w="109"/>
        <w:gridCol w:w="109"/>
        <w:gridCol w:w="109"/>
        <w:gridCol w:w="274"/>
        <w:gridCol w:w="924"/>
        <w:gridCol w:w="153"/>
        <w:gridCol w:w="109"/>
        <w:gridCol w:w="109"/>
        <w:gridCol w:w="109"/>
        <w:gridCol w:w="245"/>
        <w:gridCol w:w="923"/>
        <w:gridCol w:w="138"/>
        <w:gridCol w:w="109"/>
        <w:gridCol w:w="109"/>
        <w:gridCol w:w="109"/>
        <w:gridCol w:w="217"/>
        <w:gridCol w:w="967"/>
        <w:gridCol w:w="122"/>
        <w:gridCol w:w="109"/>
        <w:gridCol w:w="109"/>
        <w:gridCol w:w="109"/>
        <w:gridCol w:w="196"/>
        <w:gridCol w:w="87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82" w:type="dxa"/>
            <w:gridSpan w:val="54"/>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BXP, INC.</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EQUITY</w:t>
            </w:r>
          </w:p>
          <w:p>
            <w:pPr>
              <w:pStyle w:val="TableContents"/>
              <w:bidi w:val="0"/>
              <w:spacing w:lineRule="auto" w:line="240" w:before="60" w:after="283"/>
              <w:jc w:val="center"/>
              <w:rPr>
                <w:color w:val="000000"/>
              </w:rPr>
            </w:pPr>
            <w:r>
              <w:rPr>
                <w:color w:val="000000"/>
              </w:rPr>
              <w:t> </w:t>
            </w:r>
            <w:r>
              <w:rPr>
                <w:rFonts w:ascii="Arial;sans-serif" w:hAnsi="Arial;sans-serif"/>
                <w:b/>
                <w:color w:val="000000"/>
                <w:sz w:val="18"/>
              </w:rPr>
              <w:t>(unaudited and in thousands)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Dividends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br/>
              <w:t>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Common Units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Property Partnerships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158,548 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6,836,243 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(1,674,995)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(12,921)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566,563 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1,970,949 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7,684,702 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Allocated net income for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Shares issued pursuant to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activity from stock option and incentive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23,016 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interest in property partnerships and contributions from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to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portion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Reallocation of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Equity, March 31, 2026</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158,676 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6,843,822 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(1,684,492)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(6,082)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583,922 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1,982,286 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7,718,321 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December 31, 2024</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591,270 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1,933,545 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7,938,121 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Redemption of operating partnership units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Allocated net income for the period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Dividends/distributions declared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Shares issued pursuant to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activity from stock option and incentive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interest in property partnerships and contributions from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to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portion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Reallocation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Equity, March 31,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158,323 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6,846,015 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(1,513,555)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(11,379)</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591,555 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1,938,344 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7,849,841 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90"/>
        <w:jc w:val="center"/>
        <w:rPr/>
      </w:pPr>
      <w:r>
        <w:rPr/>
      </w:r>
    </w:p>
    <w:p>
      <w:pPr>
        <w:pStyle w:val="TextBody"/>
        <w:bidi w:val="0"/>
        <w:spacing w:lineRule="auto" w:line="240" w:before="280" w:after="283"/>
        <w:ind w:left="0" w:right="0" w:hanging="9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center"/>
        <w:tblInd w:w="0" w:type="dxa"/>
        <w:tblLayout w:type="fixed"/>
        <w:tblCellMar>
          <w:top w:w="28" w:type="dxa"/>
          <w:left w:w="28" w:type="dxa"/>
          <w:bottom w:w="28" w:type="dxa"/>
          <w:right w:w="28" w:type="dxa"/>
        </w:tblCellMar>
      </w:tblPr>
      <w:tblGrid>
        <w:gridCol w:w="2204"/>
        <w:gridCol w:w="1879"/>
        <w:gridCol w:w="1885"/>
        <w:gridCol w:w="333"/>
        <w:gridCol w:w="1306"/>
        <w:gridCol w:w="171"/>
        <w:gridCol w:w="171"/>
        <w:gridCol w:w="171"/>
        <w:gridCol w:w="171"/>
        <w:gridCol w:w="333"/>
        <w:gridCol w:w="1140"/>
        <w:gridCol w:w="171"/>
        <w:gridCol w:w="109"/>
        <w:gridCol w:w="161"/>
      </w:tblGrid>
      <w:tr>
        <w:trPr/>
        <w:tc>
          <w:tcPr>
            <w:tcW w:w="220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BXP,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w:t>
            </w:r>
          </w:p>
        </w:tc>
        <w:tc>
          <w:tcPr>
            <w:tcW w:w="270" w:type="dxa"/>
            <w:gridSpan w:val="2"/>
            <w:tcBorders/>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70" w:type="dxa"/>
            <w:gridSpan w:val="2"/>
            <w:tcBorders/>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 of use assets - operating leases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sales type lease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net cash flow from operations of unconsolidated joint ventures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from investments in securities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current expected credit losses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portion of interest expense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extinguishments of debt</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and other receivables, net</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rental income, net</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 operating leases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(30,961)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leasing costs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123,131 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210,036 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(138,796)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pre-development and other capital improvements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(67,095)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investments in unconsolidated joint ventures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note receivables (including related party)</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1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(309,143)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mortgage notes payable</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 redemption of unsecured senior notes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line of credit</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unsecured line of credit</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center"/>
        <w:tblInd w:w="0" w:type="dxa"/>
        <w:tblLayout w:type="fixed"/>
        <w:tblCellMar>
          <w:top w:w="28" w:type="dxa"/>
          <w:left w:w="28" w:type="dxa"/>
          <w:bottom w:w="28" w:type="dxa"/>
          <w:right w:w="28" w:type="dxa"/>
        </w:tblCellMar>
      </w:tblPr>
      <w:tblGrid>
        <w:gridCol w:w="2160"/>
        <w:gridCol w:w="1857"/>
        <w:gridCol w:w="1871"/>
        <w:gridCol w:w="292"/>
        <w:gridCol w:w="1356"/>
        <w:gridCol w:w="150"/>
        <w:gridCol w:w="150"/>
        <w:gridCol w:w="150"/>
        <w:gridCol w:w="150"/>
        <w:gridCol w:w="292"/>
        <w:gridCol w:w="1356"/>
        <w:gridCol w:w="150"/>
        <w:gridCol w:w="109"/>
        <w:gridCol w:w="162"/>
      </w:tblGrid>
      <w:tr>
        <w:trPr/>
        <w:tc>
          <w:tcPr>
            <w:tcW w:w="216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3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BXP,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w:t>
            </w:r>
          </w:p>
        </w:tc>
        <w:tc>
          <w:tcPr>
            <w:tcW w:w="271" w:type="dxa"/>
            <w:gridSpan w:val="2"/>
            <w:tcBorders/>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71" w:type="dxa"/>
            <w:gridSpan w:val="2"/>
            <w:tcBorders/>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term loans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unsecured term loans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commercial paper program</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2,923,011 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1,287,523 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commercial paper program</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(2,923,011)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(1,287,523)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equity transactions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(124,089)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(1,138,305)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(756,882)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 and cash held in escrows</w:t>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(976,012)</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(855,989)</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1,335,196 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581,254 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479,207 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and cash held in escrows:</w:t>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1,478,206 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1,254,882 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beginning of period</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1,335,196 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512,783 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end of period</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581,254 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479,207 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w:t>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 (net of amounts capitalized)</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161,391 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capitalized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fully depreciated real estate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real estate included in accounts payable and accrued expenses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contributions from noncontrolling interests in property partnerships, net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operating lease costs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declared but not paid</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124,018 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172,674 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Conversions of noncontrolling interests to stockholders’ equity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securities to employees and non-employee directors</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45,481 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42,281 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10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411"/>
        <w:gridCol w:w="1879"/>
        <w:gridCol w:w="1898"/>
        <w:gridCol w:w="125"/>
        <w:gridCol w:w="125"/>
        <w:gridCol w:w="125"/>
        <w:gridCol w:w="241"/>
        <w:gridCol w:w="1239"/>
        <w:gridCol w:w="125"/>
        <w:gridCol w:w="125"/>
        <w:gridCol w:w="125"/>
        <w:gridCol w:w="125"/>
        <w:gridCol w:w="241"/>
        <w:gridCol w:w="1239"/>
        <w:gridCol w:w="182"/>
      </w:tblGrid>
      <w:tr>
        <w:trPr/>
        <w:tc>
          <w:tcPr>
            <w:tcW w:w="241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 except for unit amounts)</w:t>
            </w:r>
          </w:p>
        </w:tc>
      </w:tr>
      <w:tr>
        <w:trPr/>
        <w:tc>
          <w:tcPr>
            <w:tcW w:w="6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Real estate, at cost (amounts related to variable interest entities (“VIEs”) of $8,083,218 and $8,005,124 at March 31,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28,018,010 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27,884,397 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finance leases (amounts related to VIEs of $21,000 and $21,000 at March 31,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372,470 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Right of use assets - operating leases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321,030 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Less: accumulated depreciation (amounts related to VIEs of $(1,805,748) and $(1,763,988) at March 31,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(8,034,990)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(7,906,629)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20,676,526 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20,676,079 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and cash equivalents (amounts related to VIEs of $193,689 and $255,631 at March 31,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512,783 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1,478,206 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held in escrows (amounts related to VIEs of $5,381 and $10,319 at March 31,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44,614 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Tenant and other receivables, net (amounts related to VIEs of $38,754 and $30,989 at March 31,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 receivable,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notes receivables,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Sales-type lease receivable,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rental income, net (amounts related to VIEs of $474,838 and $470,734 at March 31,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1,558,226 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1,538,515 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Deferred charges, net (amounts related to VIEs of $202,275 and $204,924 at March 31,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847,690 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Prepaid expenses and other assets (amounts related to VIEs of $48,202 and $14,509 at March 31,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joint ventures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999,309 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24,880,112 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25,942,364 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LIABILITIES AND CAPITAL</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Mortgage notes payable, net (amounts related to VIEs of $3,288,081 and $3,286,870 at March 31,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4,280,639 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4,280,067 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8,808,674 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9,806,100 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exchangeable senior notes,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977,387 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976,263 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line of credit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term loans,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797,053 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commercial paper</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Lease liabilities - finance leases (amounts related to VIEs of $21,106 and $21,074 at March 31,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357,039 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360,039 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Lease liabilities - operating leases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Accounts payable and accrued expenses (amounts related to VIEs of $80,255 and $88,849 at March 31,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418,443 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Other liabilities (amounts related to VIEs of $85,594 and $95,209 at March 31,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17,377,871 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18,473,924 </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center"/>
        <w:tblInd w:w="0" w:type="dxa"/>
        <w:tblLayout w:type="fixed"/>
        <w:tblCellMar>
          <w:top w:w="28" w:type="dxa"/>
          <w:left w:w="28" w:type="dxa"/>
          <w:bottom w:w="28" w:type="dxa"/>
          <w:right w:w="28" w:type="dxa"/>
        </w:tblCellMar>
      </w:tblPr>
      <w:tblGrid>
        <w:gridCol w:w="2354"/>
        <w:gridCol w:w="1990"/>
        <w:gridCol w:w="2001"/>
        <w:gridCol w:w="120"/>
        <w:gridCol w:w="120"/>
        <w:gridCol w:w="120"/>
        <w:gridCol w:w="232"/>
        <w:gridCol w:w="1191"/>
        <w:gridCol w:w="120"/>
        <w:gridCol w:w="120"/>
        <w:gridCol w:w="120"/>
        <w:gridCol w:w="120"/>
        <w:gridCol w:w="232"/>
        <w:gridCol w:w="1191"/>
        <w:gridCol w:w="174"/>
      </w:tblGrid>
      <w:tr>
        <w:trPr/>
        <w:tc>
          <w:tcPr>
            <w:tcW w:w="2354"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 except for unit amounts)</w:t>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(See Note 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deferred stock units— 116,733 and 111,701 units outstanding at redemption value at March 31, 2026 and December 31, 2025, respectively</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partnership units— 15,675,504 and 15,590,009 common units and 3,111,708 and 2,662,140 long term incentive units outstanding at redemption value at March 31, 2026 and December 31, 2025, respectively</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1,033,549 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Boston Properties Limited Partnership partners’ capital— 1,774,632 and 1,768,004 general partner units and 156,901,331 and 156,780,294 limited partner units outstanding at March 31, 2026 and December 31, 2025, respectively</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4,486,430 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4,230,155 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partners’ capital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4,480,348 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4,217,234 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1,982,286 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1,970,949 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6,462,634 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6,188,183 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capital</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24,880,112 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25,942,364 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(unaudited and in thousands, except for per unit amounts) </w:t>
      </w:r>
    </w:p>
    <w:tbl>
      <w:tblPr>
        <w:tblW w:w="10205" w:type="dxa"/>
        <w:jc w:val="left"/>
        <w:tblInd w:w="0" w:type="dxa"/>
        <w:tblLayout w:type="fixed"/>
        <w:tblCellMar>
          <w:top w:w="28" w:type="dxa"/>
          <w:left w:w="28" w:type="dxa"/>
          <w:bottom w:w="28" w:type="dxa"/>
          <w:right w:w="28" w:type="dxa"/>
        </w:tblCellMar>
      </w:tblPr>
      <w:tblGrid>
        <w:gridCol w:w="2466"/>
        <w:gridCol w:w="2149"/>
        <w:gridCol w:w="2155"/>
        <w:gridCol w:w="220"/>
        <w:gridCol w:w="862"/>
        <w:gridCol w:w="113"/>
        <w:gridCol w:w="113"/>
        <w:gridCol w:w="113"/>
        <w:gridCol w:w="113"/>
        <w:gridCol w:w="220"/>
        <w:gridCol w:w="862"/>
        <w:gridCol w:w="113"/>
        <w:gridCol w:w="109"/>
        <w:gridCol w:w="109"/>
        <w:gridCol w:w="109"/>
        <w:gridCol w:w="109"/>
        <w:gridCol w:w="109"/>
        <w:gridCol w:w="161"/>
      </w:tblGrid>
      <w:tr>
        <w:trPr/>
        <w:tc>
          <w:tcPr>
            <w:tcW w:w="246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6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Parking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management services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872,148 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865,215 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642,709 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615,098 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from investments in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 of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Limited Partnership</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earnings per common unit attributable to Boston Properties Limited Partnership </w:t>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units outstanding</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176,318 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common unit attributable to Boston Properties Limited Partnership </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common and common equivalent units outstanding</w:t>
            </w:r>
          </w:p>
        </w:tc>
        <w:tc>
          <w:tcPr>
            <w:tcW w:w="108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176,819 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176,182 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31"/>
        <w:gridCol w:w="2047"/>
        <w:gridCol w:w="2065"/>
        <w:gridCol w:w="109"/>
        <w:gridCol w:w="109"/>
        <w:gridCol w:w="109"/>
        <w:gridCol w:w="224"/>
        <w:gridCol w:w="909"/>
        <w:gridCol w:w="115"/>
        <w:gridCol w:w="115"/>
        <w:gridCol w:w="115"/>
        <w:gridCol w:w="115"/>
        <w:gridCol w:w="224"/>
        <w:gridCol w:w="797"/>
        <w:gridCol w:w="115"/>
        <w:gridCol w:w="109"/>
        <w:gridCol w:w="109"/>
        <w:gridCol w:w="109"/>
        <w:gridCol w:w="109"/>
        <w:gridCol w:w="109"/>
        <w:gridCol w:w="161"/>
      </w:tblGrid>
      <w:tr>
        <w:trPr/>
        <w:tc>
          <w:tcPr>
            <w:tcW w:w="233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6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interest rate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Boston Properties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122,404 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59,520 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(1)Amounts reclassified from comprehensive income (loss) primarily to interest expense within Boston Properties Limited Partnership’s Consolidated Statements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1772" w:type="dxa"/>
        <w:jc w:val="center"/>
        <w:tblInd w:w="0" w:type="dxa"/>
        <w:tblLayout w:type="fixed"/>
        <w:tblCellMar>
          <w:top w:w="28" w:type="dxa"/>
          <w:left w:w="28" w:type="dxa"/>
          <w:bottom w:w="28" w:type="dxa"/>
          <w:right w:w="28" w:type="dxa"/>
        </w:tblCellMar>
      </w:tblPr>
      <w:tblGrid>
        <w:gridCol w:w="860"/>
        <w:gridCol w:w="215"/>
        <w:gridCol w:w="216"/>
        <w:gridCol w:w="376"/>
        <w:gridCol w:w="240"/>
        <w:gridCol w:w="241"/>
        <w:gridCol w:w="109"/>
        <w:gridCol w:w="109"/>
        <w:gridCol w:w="109"/>
        <w:gridCol w:w="439"/>
        <w:gridCol w:w="387"/>
        <w:gridCol w:w="236"/>
        <w:gridCol w:w="109"/>
        <w:gridCol w:w="109"/>
        <w:gridCol w:w="109"/>
        <w:gridCol w:w="211"/>
        <w:gridCol w:w="976"/>
        <w:gridCol w:w="109"/>
        <w:gridCol w:w="109"/>
        <w:gridCol w:w="109"/>
        <w:gridCol w:w="109"/>
        <w:gridCol w:w="269"/>
        <w:gridCol w:w="941"/>
        <w:gridCol w:w="141"/>
        <w:gridCol w:w="109"/>
        <w:gridCol w:w="109"/>
        <w:gridCol w:w="109"/>
        <w:gridCol w:w="212"/>
        <w:gridCol w:w="983"/>
        <w:gridCol w:w="111"/>
        <w:gridCol w:w="109"/>
        <w:gridCol w:w="109"/>
        <w:gridCol w:w="109"/>
        <w:gridCol w:w="211"/>
        <w:gridCol w:w="976"/>
        <w:gridCol w:w="109"/>
        <w:gridCol w:w="109"/>
        <w:gridCol w:w="109"/>
        <w:gridCol w:w="109"/>
        <w:gridCol w:w="212"/>
        <w:gridCol w:w="983"/>
        <w:gridCol w:w="156"/>
      </w:tblGrid>
      <w:tr>
        <w:trPr/>
        <w:tc>
          <w:tcPr>
            <w:tcW w:w="8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2"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BOSTON PROPERTIES LIMITED PARTNERSHIP</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CAPITAL AND NONCONTROLLING INTERESTS</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(unaudited and in thousands)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color w:val="000000"/>
              </w:rPr>
            </w:pPr>
            <w:r>
              <w:rPr>
                <w:color w:val="000000"/>
              </w:rPr>
              <w:t> </w:t>
            </w:r>
          </w:p>
        </w:tc>
        <w:tc>
          <w:tcPr>
            <w:tcW w:w="8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General Partner</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Partners’ Capital (General and Limited Partners)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w:t>
              <w:br/>
              <w:t>Interests - Property Partnerships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Redeemable Partnership Units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December 31,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156,780 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1,970,949 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interest in property partnerships and contributions from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March 31,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156,901 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1,982,286 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6,462,634 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1,033,549 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December 31,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156,413 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1,933,545 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1,378,573 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interest in property partnerships and contributions from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March 31,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156,556 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4,408,383 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(11,379)</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1,938,344 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6,335,348 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1,280,106 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center"/>
        <w:tblInd w:w="0" w:type="dxa"/>
        <w:tblLayout w:type="fixed"/>
        <w:tblCellMar>
          <w:top w:w="28" w:type="dxa"/>
          <w:left w:w="28" w:type="dxa"/>
          <w:bottom w:w="28" w:type="dxa"/>
          <w:right w:w="28" w:type="dxa"/>
        </w:tblCellMar>
      </w:tblPr>
      <w:tblGrid>
        <w:gridCol w:w="2204"/>
        <w:gridCol w:w="1879"/>
        <w:gridCol w:w="1885"/>
        <w:gridCol w:w="333"/>
        <w:gridCol w:w="1306"/>
        <w:gridCol w:w="171"/>
        <w:gridCol w:w="171"/>
        <w:gridCol w:w="171"/>
        <w:gridCol w:w="171"/>
        <w:gridCol w:w="333"/>
        <w:gridCol w:w="1140"/>
        <w:gridCol w:w="171"/>
        <w:gridCol w:w="109"/>
        <w:gridCol w:w="161"/>
      </w:tblGrid>
      <w:tr>
        <w:trPr/>
        <w:tc>
          <w:tcPr>
            <w:tcW w:w="220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8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80" w:after="100"/>
              <w:jc w:val="center"/>
              <w:rPr>
                <w:rFonts w:ascii="Arial;sans-serif" w:hAnsi="Arial;sans-serif"/>
                <w:b/>
                <w:color w:val="000000"/>
                <w:sz w:val="20"/>
              </w:rPr>
            </w:pPr>
            <w:r>
              <w:rPr>
                <w:rFonts w:ascii="Arial;sans-serif" w:hAnsi="Arial;sans-serif"/>
                <w:b/>
                <w:color w:val="000000"/>
                <w:sz w:val="20"/>
              </w:rPr>
              <w:t>(unaudited and in thousands)</w:t>
            </w:r>
          </w:p>
        </w:tc>
        <w:tc>
          <w:tcPr>
            <w:tcW w:w="270" w:type="dxa"/>
            <w:gridSpan w:val="2"/>
            <w:tcBorders/>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70" w:type="dxa"/>
            <w:gridSpan w:val="2"/>
            <w:tcBorders/>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 of use assets - operating leases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sales type lease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net cash flow from operations of unconsolidated joint ventures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from investments in securities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current expected credit losses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portion of interest expense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from early extinguishments of debt </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on sales-type lease </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and other receivables, net</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rental income, net</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 operating leases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(30,961)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leasing costs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121,428 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210,036 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(138,796)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pre-development and other capital improvements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(67,095)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investments in unconsolidated joint ventures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note receivables (including related party)</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1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(309,143)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Repayments of mortgage notes payable </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 redemption of unsecured senior notes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line of credit</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center"/>
        <w:tblInd w:w="0" w:type="dxa"/>
        <w:tblLayout w:type="fixed"/>
        <w:tblCellMar>
          <w:top w:w="28" w:type="dxa"/>
          <w:left w:w="28" w:type="dxa"/>
          <w:bottom w:w="28" w:type="dxa"/>
          <w:right w:w="28" w:type="dxa"/>
        </w:tblCellMar>
      </w:tblPr>
      <w:tblGrid>
        <w:gridCol w:w="2150"/>
        <w:gridCol w:w="1866"/>
        <w:gridCol w:w="1872"/>
        <w:gridCol w:w="292"/>
        <w:gridCol w:w="1356"/>
        <w:gridCol w:w="150"/>
        <w:gridCol w:w="150"/>
        <w:gridCol w:w="150"/>
        <w:gridCol w:w="150"/>
        <w:gridCol w:w="292"/>
        <w:gridCol w:w="1356"/>
        <w:gridCol w:w="150"/>
        <w:gridCol w:w="109"/>
        <w:gridCol w:w="162"/>
      </w:tblGrid>
      <w:tr>
        <w:trPr/>
        <w:tc>
          <w:tcPr>
            <w:tcW w:w="215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3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8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80" w:after="100"/>
              <w:jc w:val="center"/>
              <w:rPr>
                <w:rFonts w:ascii="Arial;sans-serif" w:hAnsi="Arial;sans-serif"/>
                <w:b/>
                <w:color w:val="000000"/>
                <w:sz w:val="20"/>
              </w:rPr>
            </w:pPr>
            <w:r>
              <w:rPr>
                <w:rFonts w:ascii="Arial;sans-serif" w:hAnsi="Arial;sans-serif"/>
                <w:b/>
                <w:color w:val="000000"/>
                <w:sz w:val="20"/>
              </w:rPr>
              <w:t>(unaudited and in thousands)</w:t>
            </w:r>
          </w:p>
        </w:tc>
        <w:tc>
          <w:tcPr>
            <w:tcW w:w="271" w:type="dxa"/>
            <w:gridSpan w:val="2"/>
            <w:tcBorders/>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71" w:type="dxa"/>
            <w:gridSpan w:val="2"/>
            <w:tcBorders/>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unsecured line of credit</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term loans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unsecured term loans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commercial paper program</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2,923,011 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1,287,523 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commercial paper program</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(2,923,011)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(1,287,523)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equity transactions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(124,089)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(1,138,305)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(756,882)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 and cash held in escrows</w:t>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(976,012)</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(855,989)</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1,335,196 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581,254 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479,207 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and cash held in escrows:</w:t>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1,478,206 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1,254,882 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beginning of period</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1,335,196 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512,783 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end of period</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581,254 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479,207 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w:t>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 (net of amounts capitalized)</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161,391 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capitalized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fully depreciated real estate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real estate included in accounts payable and accrued expenses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contributions from noncontrolling interests in property partnerships, net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operating lease costs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declared but not paid</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124,018 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172,674 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Conversions of redeemable partnership units to partners’ capital</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securities to employees and non-employee directors</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45,481 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42,281 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BXP, INC. AND 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pPr>
      <w:r>
        <w:rPr>
          <w:rFonts w:ascii="Arial;sans-serif" w:hAnsi="Arial;sans-serif"/>
          <w:b w:val="false"/>
          <w:color w:val="001A33"/>
          <w:sz w:val="28"/>
        </w:rPr>
        <w:t>1. Organization</w:t>
      </w:r>
      <w:r>
        <w:rPr>
          <w:color w:val="0869AD"/>
        </w:rPr>
        <w:t xml:space="preserv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BXP is a fully integrated, self-administered and self-managed REIT. BXP is the sole general partner of BPLP, its operating partnership, and at March 31, 2026, owned an approximate 89.4% (89.7% at December 31, 2025) general and limited partnership interest in BPLP. Unless stated otherwise or the context requires, the “Company” refers to BXP and its subsidiaries, including BPLP and its consolidated subsidiaries. Partnership interests in BPLP include:</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 xml:space="preserve">common units of partnership interest (also referred to as “OP Units”)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long term incentive units of partnership interest (also referred to as “LTIP Units”)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Unless specifically noted otherwise, all references to OP Units exclude units held by BXP. A holder of an OP Unit may present the OP Unit to BPLP for redemption at any time (subject to covenants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uses LTIP Units as a form of time-based, restricted equity compensation and as a form of performance-based equity compensation for employees, and it has previously granted LTIP Units in the form of (1) 2012 outperformance plan awards (“2012 OPP Units”), (2) 2013 - 2026 multi-year, long-term incentive program awards (also referred to as “MYLTIP Units”) and (3) 2025 outperformance plan awards (“2025 OPP Units”), each of which, upon the satisfaction of certain performance-based and time-based vesting conditions, is convertible into one OP Unit. The measurement periods for the 2012 OPP Units and the 2013 - 2023 MYLTIP Units have ended and BXP’s total stockholder return (“TSR”) was sufficient for employees to earn and therefore become eligible to vest in a portion of the awards. Unless and until they are earned, the rights, preferences and privileges of the 2024 - 2026 MYLTIP Units and the 2025 OPP Units differ from other LTIP Units granted to employees (including the 2012 OPP Units and the 2013 - 2023 MYLTIP Units, which have been earned). Therefore, unless specifically noted otherwise, all references to LTIP Units exclude the 2024 - 2026 MYLTIP Units and the 2025 OPP Units. LTIP Units (including the earned 2012 OPP Units and the earned 2013 - 2023 MYLTIP Units), whether vested or not, receive the same quarterly per unit distributions as OP Units, which equal per share dividends on Common Stock (See Notes 9 and 13).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Properties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At March 31, 2026, the Company owned or had joint venture interests in a portfolio of 164 commercial real estate properties (the “Properties”) aggregating approximately 50.4 million rentable square feet of primarily office properties, including six properties under construction/redevelopment totaling approximately 3.4 million rentable square feet. At March 31, 2026, the Properties consisted of:</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143 office properties (including three properties under construction/redevelopment);</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 xml:space="preserve">14 retail properties; </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six residential properties (including three properties under construction); and</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one hotel.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pPr>
      <w:r>
        <w:rPr>
          <w:rFonts w:ascii="Arial;sans-serif" w:hAnsi="Arial;sans-serif"/>
          <w:b w:val="false"/>
          <w:color w:val="001A33"/>
          <w:sz w:val="28"/>
        </w:rPr>
        <w:t>2. Summary of Significant Accounting Policies</w:t>
      </w:r>
      <w:r>
        <w:rPr>
          <w:color w:val="001A33"/>
        </w:rPr>
        <w:t xml:space="preserv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 intercompany balances and transactions have been eliminated in consolidation. The Company accounts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other unconsolidated joint ventures using the equity method of accounting. Accordingly, the Company’s share of the earnings of these joint ventures and companies is included in consolidated net income.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2025.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bases its estimates on historical experience and on various other assumptions that it considers to be reasonable under the circumstances, including the impact of extraordinary events,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Variable Interest Entities (VIEs)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identified 11 entities that are VIEs as of March 31, 2026 and has determined that it is the primary beneficiary for eight of these entities as of March 31, 2026.</w:t>
      </w:r>
    </w:p>
    <w:p>
      <w:pPr>
        <w:pStyle w:val="TextBody"/>
        <w:bidi w:val="0"/>
        <w:spacing w:lineRule="auto" w:line="288" w:before="180" w:after="100"/>
        <w:jc w:val="left"/>
        <w:rPr>
          <w:rFonts w:ascii="Arial;sans-serif" w:hAnsi="Arial;sans-serif"/>
          <w:b/>
          <w:color w:val="00497F"/>
          <w:sz w:val="20"/>
        </w:rPr>
      </w:pPr>
      <w:r>
        <w:rPr>
          <w:rFonts w:ascii="Arial;sans-serif" w:hAnsi="Arial;sans-serif"/>
          <w:b/>
          <w:color w:val="00497F"/>
          <w:sz w:val="20"/>
        </w:rPr>
        <w:t>Consolidated Variable Interest Entities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As of March 31, 2026, BXP has identified eight consolidated VIEs, including BPLP. Excluding BPLP, the consolidated VIEs consisted of (i) the following six in-service properties: 767 Fifth Avenue (the General Motors Building), 7 Times Square, 601 Lexington Avenue, 300 Binney Street, Atlantic Wharf Office Building and 100 Federal Street and (ii) 290 Binney Street, which is currently under development.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9).</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BXP’s only significant asset is its investment in BPLP and, consequently, substantially all of BXP’s assets and liabilities are the assets and liabilities of BPLP. </w:t>
      </w:r>
    </w:p>
    <w:p>
      <w:pPr>
        <w:pStyle w:val="TextBody"/>
        <w:bidi w:val="0"/>
        <w:spacing w:lineRule="auto" w:line="288" w:before="180" w:after="100"/>
        <w:jc w:val="left"/>
        <w:rPr>
          <w:rFonts w:ascii="Arial;sans-serif" w:hAnsi="Arial;sans-serif"/>
          <w:b/>
          <w:color w:val="00497F"/>
          <w:sz w:val="20"/>
        </w:rPr>
      </w:pPr>
      <w:r>
        <w:rPr>
          <w:rFonts w:ascii="Arial;sans-serif" w:hAnsi="Arial;sans-serif"/>
          <w:b/>
          <w:color w:val="00497F"/>
          <w:sz w:val="20"/>
        </w:rPr>
        <w:t xml:space="preserve">Unconsolidated Variable Interest Entities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As of March 31, 2026, BXP has identified three unconsolidated joint venture entities that are classified as VIEs. The CAB 290 Coles Venture LLC, CAB 290 Coles Holdco LLC, and 17 Hartwell JV LLC joint ventures are VIEs because they do not have sufficient equity at risk. In addition, the Company does not consolidate the entities as it does not have the power to direct the activities that, when taken together, most significantly impact the VIEs’ performance and, therefore, the Company is not considered to be the primary beneficiary.</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Fair Value Measurements</w:t>
      </w:r>
    </w:p>
    <w:p>
      <w:pPr>
        <w:pStyle w:val="TextBody"/>
        <w:bidi w:val="0"/>
        <w:spacing w:lineRule="auto" w:line="288" w:before="100" w:after="283"/>
        <w:ind w:left="0" w:right="0" w:firstLine="495"/>
        <w:jc w:val="left"/>
        <w:rPr/>
      </w:pPr>
      <w:r>
        <w:rPr>
          <w:rFonts w:ascii="Arial;sans-serif" w:hAnsi="Arial;sans-serif"/>
          <w:b w:val="false"/>
          <w:color w:val="000000"/>
          <w:sz w:val="20"/>
        </w:rPr>
        <w:t>The Company follows the authoritative guidance for fair value measurements when valuing its financial instruments for disclosure purposes. Because the Company’s valuations of its financial instruments are based on the Levels as defined in the Accounting Standards Codification (“ASC”) 820,</w:t>
      </w:r>
      <w:r>
        <w:rPr>
          <w:color w:val="000000"/>
        </w:rPr>
        <w:t xml:space="preserve"> “</w:t>
      </w:r>
      <w:r>
        <w:rPr>
          <w:rFonts w:ascii="Arial;sans-serif" w:hAnsi="Arial;sans-serif"/>
          <w:b w:val="false"/>
          <w:color w:val="000000"/>
          <w:sz w:val="20"/>
        </w:rPr>
        <w:t xml:space="preserve">Fair Value Measurements” </w:t>
      </w:r>
      <w:r>
        <w:rPr>
          <w:rFonts w:ascii="Arial;sans-serif" w:hAnsi="Arial;sans-serif"/>
          <w:b w:val="false"/>
          <w:i/>
          <w:color w:val="000000"/>
          <w:sz w:val="20"/>
        </w:rPr>
        <w:t>(</w:t>
      </w:r>
      <w:r>
        <w:rPr>
          <w:color w:val="000000"/>
        </w:rPr>
        <w:t>“</w:t>
      </w:r>
      <w:r>
        <w:rPr>
          <w:rFonts w:ascii="Arial;sans-serif" w:hAnsi="Arial;sans-serif"/>
          <w:b w:val="false"/>
          <w:color w:val="000000"/>
          <w:sz w:val="20"/>
        </w:rPr>
        <w:t>ASC 820”</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and involve the use of estimates, the actual fair values of its financial instruments may differ materially from those estimates. In addition, the Company’s estimated fair values for these instruments as of the end of the applicable reporting period are not projections of, nor necessarily indicative of, estimated or actual fair values in future reporting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At March 31, 2026 and December 31, 2025, the Company had $750.0 million outstanding under its unsecured commercial paper program. Due to their short-term maturity and stated interest rates that approximate current market rates, the fair value of outstanding commercial paper borrowings approximates the Company's carrying amount at March 31, 2026 and December 31,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Company’s non-real estate investments are shown within Prepaid Expenses and Other Assets on the Consolidated Balance Sheets and were approximately $11.5 million and $10.9 million at March 31, 2026 and December 31, 2025, respectively. The non-real estate investments utilize net asset value as the practical expedient.</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Financial Assets and Liabilities Not Measured at Fair Value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Levels at which the Company’s non-recurring fair value financial instruments are categorized as defined in ASC 820, as well as the Company’s aggregate carrying value and corresponding estimate of fair value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238"/>
        <w:gridCol w:w="208"/>
        <w:gridCol w:w="210"/>
        <w:gridCol w:w="836"/>
        <w:gridCol w:w="785"/>
        <w:gridCol w:w="787"/>
        <w:gridCol w:w="109"/>
        <w:gridCol w:w="109"/>
        <w:gridCol w:w="109"/>
        <w:gridCol w:w="211"/>
        <w:gridCol w:w="1126"/>
        <w:gridCol w:w="109"/>
        <w:gridCol w:w="109"/>
        <w:gridCol w:w="109"/>
        <w:gridCol w:w="109"/>
        <w:gridCol w:w="211"/>
        <w:gridCol w:w="1126"/>
        <w:gridCol w:w="109"/>
        <w:gridCol w:w="109"/>
        <w:gridCol w:w="109"/>
        <w:gridCol w:w="109"/>
        <w:gridCol w:w="211"/>
        <w:gridCol w:w="1126"/>
        <w:gridCol w:w="109"/>
        <w:gridCol w:w="109"/>
        <w:gridCol w:w="109"/>
        <w:gridCol w:w="109"/>
        <w:gridCol w:w="211"/>
        <w:gridCol w:w="1126"/>
        <w:gridCol w:w="158"/>
      </w:tblGrid>
      <w:tr>
        <w:trPr/>
        <w:tc>
          <w:tcPr>
            <w:tcW w:w="2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w:t>
            </w:r>
          </w:p>
        </w:tc>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r>
      <w:tr>
        <w:trPr/>
        <w:tc>
          <w:tcPr>
            <w:tcW w:w="656" w:type="dxa"/>
            <w:gridSpan w:val="3"/>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56" w:type="dxa"/>
            <w:gridSpan w:val="3"/>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note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Unsecured senior notes, net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9,554,844 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Unsecured exchangeable senior notes, net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958,745 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10,536,061 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10,077,604 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11,532,363 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11,263,589 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Mortgage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4,010,151 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term loan,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805,687 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5,077,948 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4,791,003 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5,077,120 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4,815,838 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15,614,009 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14,868,607 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16,609,483 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16,079,427 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(1)If trading volume for the period is low, the valuation could be categorized as Level 2.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Recurring Fair Value - Derivatives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 addition to the financial instruments noted above, the Company uses interest rate swap agreements to manage its interest rate risk (See Note 7).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are classified in Level 2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aggregate fair value of the Company’s interest rate swaps as of March 31, 2026 and December 31, 2025 (in thousands):</w:t>
      </w:r>
    </w:p>
    <w:tbl>
      <w:tblPr>
        <w:tblW w:w="5663" w:type="dxa"/>
        <w:jc w:val="left"/>
        <w:tblInd w:w="0" w:type="dxa"/>
        <w:tblLayout w:type="fixed"/>
        <w:tblCellMar>
          <w:top w:w="28" w:type="dxa"/>
          <w:left w:w="28" w:type="dxa"/>
          <w:bottom w:w="28" w:type="dxa"/>
          <w:right w:w="28" w:type="dxa"/>
        </w:tblCellMar>
      </w:tblPr>
      <w:tblGrid>
        <w:gridCol w:w="645"/>
        <w:gridCol w:w="567"/>
        <w:gridCol w:w="573"/>
        <w:gridCol w:w="109"/>
        <w:gridCol w:w="109"/>
        <w:gridCol w:w="109"/>
        <w:gridCol w:w="290"/>
        <w:gridCol w:w="970"/>
        <w:gridCol w:w="149"/>
        <w:gridCol w:w="109"/>
        <w:gridCol w:w="109"/>
        <w:gridCol w:w="109"/>
        <w:gridCol w:w="357"/>
        <w:gridCol w:w="1197"/>
        <w:gridCol w:w="261"/>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Recurring Fair Value - Investments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accounts for investments in equity securities at fair value, with gains or losses resulting from changes in fair value recognized currently in earnings. The Company maintains deferred compensation plans that are designed to allow each officer and non-employee director of BXP to defer a portion of the officer’s income and the non-employee director’s compensation, respectively, on a pre-tax basis and receive a tax-deferred return on the amounts deferred based on the performance of specific investments selected by the plan participant. The Company’s obligation under the plans is that of an unsecured promise to pay the deferred compensation to the plan participants in the future. At March 31, 2026 and December 31, 2025, the Company had maintained approximately $41.9 million and $44.4 million, respectively, in separate accounts, which are not restricted as to their use. The Company recognized losses of approximately $0.6 million and $0.4 million on its investments in the accounts associated with the Company’s deferred compensation plans during the three months ended March 31, 2026 and March 31, 2025, respectively, primarily due to the observable change in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3. Real Estate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Real estate consisted of the following at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1074"/>
        <w:gridCol w:w="786"/>
        <w:gridCol w:w="797"/>
        <w:gridCol w:w="109"/>
        <w:gridCol w:w="109"/>
        <w:gridCol w:w="109"/>
        <w:gridCol w:w="211"/>
        <w:gridCol w:w="1126"/>
        <w:gridCol w:w="109"/>
        <w:gridCol w:w="109"/>
        <w:gridCol w:w="109"/>
        <w:gridCol w:w="109"/>
        <w:gridCol w:w="240"/>
        <w:gridCol w:w="1286"/>
        <w:gridCol w:w="124"/>
        <w:gridCol w:w="109"/>
        <w:gridCol w:w="109"/>
        <w:gridCol w:w="109"/>
        <w:gridCol w:w="211"/>
        <w:gridCol w:w="1126"/>
        <w:gridCol w:w="109"/>
        <w:gridCol w:w="109"/>
        <w:gridCol w:w="109"/>
        <w:gridCol w:w="109"/>
        <w:gridCol w:w="239"/>
        <w:gridCol w:w="1280"/>
        <w:gridCol w:w="179"/>
      </w:tblGrid>
      <w:tr>
        <w:trPr/>
        <w:tc>
          <w:tcPr>
            <w:tcW w:w="107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BPLP</w:t>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5,222,387 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5,243,760 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5,129,873 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5,151,246 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Land held for future development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518,492 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518,492 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16,908,060 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16,643,092 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4,042,150 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1,475,257 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1,475,257 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29,068,998 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28,940,190 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28,582,708 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(8,170,334)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(8,040,311)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(8,034,990)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(7,906,629)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20,898,664 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20,899,879 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20,676,526 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20,676,079 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pre-development costs.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Development</w:t>
      </w:r>
    </w:p>
    <w:p>
      <w:pPr>
        <w:pStyle w:val="TextBody"/>
        <w:bidi w:val="0"/>
        <w:spacing w:lineRule="auto" w:line="288"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On January 16, 2026, the Company fully placed in-service Reston Next Retail, located in Reston, Virginia. Reston Next Retail is a retail development with approximately 30,000 net rentable square feet.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Dispositions</w:t>
      </w:r>
    </w:p>
    <w:p>
      <w:pPr>
        <w:pStyle w:val="TextBody"/>
        <w:bidi w:val="0"/>
        <w:spacing w:lineRule="auto" w:line="288"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represents the assets that were sold during the three months ended March 31, 2026 and the gains (losses) on sales of real estate recognized by each of BXP and BPLP (dollars in thousands):</w:t>
      </w:r>
    </w:p>
    <w:tbl>
      <w:tblPr>
        <w:tblW w:w="10205" w:type="dxa"/>
        <w:jc w:val="left"/>
        <w:tblInd w:w="0" w:type="dxa"/>
        <w:tblLayout w:type="fixed"/>
        <w:tblCellMar>
          <w:top w:w="28" w:type="dxa"/>
          <w:left w:w="28" w:type="dxa"/>
          <w:bottom w:w="28" w:type="dxa"/>
          <w:right w:w="28" w:type="dxa"/>
        </w:tblCellMar>
      </w:tblPr>
      <w:tblGrid>
        <w:gridCol w:w="503"/>
        <w:gridCol w:w="274"/>
        <w:gridCol w:w="276"/>
        <w:gridCol w:w="118"/>
        <w:gridCol w:w="118"/>
        <w:gridCol w:w="118"/>
        <w:gridCol w:w="278"/>
        <w:gridCol w:w="278"/>
        <w:gridCol w:w="279"/>
        <w:gridCol w:w="109"/>
        <w:gridCol w:w="109"/>
        <w:gridCol w:w="109"/>
        <w:gridCol w:w="300"/>
        <w:gridCol w:w="300"/>
        <w:gridCol w:w="301"/>
        <w:gridCol w:w="109"/>
        <w:gridCol w:w="109"/>
        <w:gridCol w:w="109"/>
        <w:gridCol w:w="368"/>
        <w:gridCol w:w="368"/>
        <w:gridCol w:w="232"/>
        <w:gridCol w:w="109"/>
        <w:gridCol w:w="109"/>
        <w:gridCol w:w="109"/>
        <w:gridCol w:w="202"/>
        <w:gridCol w:w="761"/>
        <w:gridCol w:w="112"/>
        <w:gridCol w:w="109"/>
        <w:gridCol w:w="109"/>
        <w:gridCol w:w="109"/>
        <w:gridCol w:w="207"/>
        <w:gridCol w:w="780"/>
        <w:gridCol w:w="115"/>
        <w:gridCol w:w="109"/>
        <w:gridCol w:w="109"/>
        <w:gridCol w:w="109"/>
        <w:gridCol w:w="196"/>
        <w:gridCol w:w="646"/>
        <w:gridCol w:w="109"/>
        <w:gridCol w:w="109"/>
        <w:gridCol w:w="109"/>
        <w:gridCol w:w="109"/>
        <w:gridCol w:w="196"/>
        <w:gridCol w:w="646"/>
        <w:gridCol w:w="162"/>
      </w:tblGrid>
      <w:tr>
        <w:trPr/>
        <w:tc>
          <w:tcPr>
            <w:tcW w:w="5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Gross Sale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 Cash Proceeds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Gain (Loss) on Sale </w:t>
            </w:r>
            <w:r>
              <w:rPr>
                <w:rFonts w:ascii="Arial;sans-serif" w:hAnsi="Arial;sans-serif"/>
                <w:b/>
                <w:color w:val="000000"/>
                <w:sz w:val="10"/>
              </w:rPr>
              <w:t>(2)</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BXP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BPLP</w:t>
            </w:r>
          </w:p>
        </w:tc>
      </w:tr>
      <w:tr>
        <w:trPr/>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Land: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North First Business Park</w:t>
            </w:r>
            <w:r>
              <w:rPr>
                <w:color w:val="000000"/>
              </w:rPr>
              <w:t xml:space="preserve"> </w:t>
            </w:r>
            <w:r>
              <w:rPr>
                <w:rFonts w:ascii="Arial;sans-serif" w:hAnsi="Arial;sans-serif"/>
                <w:b w:val="false"/>
                <w:color w:val="000000"/>
                <w:sz w:val="10"/>
              </w:rPr>
              <w:t>(3)</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Jose,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Shady Grove Parcel 1 </w:t>
            </w:r>
            <w:r>
              <w:rPr>
                <w:rFonts w:ascii="Arial;sans-serif" w:hAnsi="Arial;sans-serif"/>
                <w:b w:val="false"/>
                <w:color w:val="000000"/>
                <w:sz w:val="10"/>
              </w:rPr>
              <w:t xml:space="preserve">(3) </w:t>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Rockville,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Residential:</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The Lofts at Atlantic Wharf </w:t>
            </w:r>
            <w:r>
              <w:rPr>
                <w:rFonts w:ascii="Arial;sans-serif" w:hAnsi="Arial;sans-serif"/>
                <w:b w:val="false"/>
                <w:color w:val="000000"/>
                <w:sz w:val="10"/>
              </w:rPr>
              <w:t>(4)</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25, 2026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31" w:type="dxa"/>
            <w:gridSpan w:val="6"/>
            <w:tcBorders/>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Dispositions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278,000 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130,650 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(1)Excludes approximately $2.7 million of additional payment obligations related to sales that occurred in prior periods. </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(2)Excludes approximately $0.3 million of loss in connection with the sale of the Company’s entire 50% ownership interest in the joint venture entity that owned Gateway Commons as a result of the Company's outstanding receivable balance for development and construction management fees that were forfeited (see Note 5), and $0.1 million of loss related to sales that occurred in prior periods. </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Company had previously recognized impairment losses for these properties.</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fair value of the real estate disposed exceeded the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pPr>
      <w:r>
        <w:rPr>
          <w:rFonts w:ascii="Arial;sans-serif" w:hAnsi="Arial;sans-serif"/>
          <w:b w:val="false"/>
          <w:color w:val="001A33"/>
          <w:sz w:val="28"/>
        </w:rPr>
        <w:t>4. Leases</w:t>
      </w:r>
      <w:r>
        <w:rPr>
          <w:color w:val="001A33"/>
        </w:rPr>
        <w:t xml:space="preserve"> </w:t>
      </w:r>
    </w:p>
    <w:p>
      <w:pPr>
        <w:pStyle w:val="TextBody"/>
        <w:bidi w:val="0"/>
        <w:spacing w:lineRule="auto" w:line="288" w:before="100" w:after="283"/>
        <w:ind w:left="0" w:right="0" w:firstLine="495"/>
        <w:jc w:val="left"/>
        <w:rPr/>
      </w:pPr>
      <w:r>
        <w:rPr>
          <w:rFonts w:ascii="Arial;sans-serif" w:hAnsi="Arial;sans-serif"/>
          <w:b w:val="false"/>
          <w:color w:val="000000"/>
          <w:sz w:val="20"/>
          <w:shd w:fill="FFFFFF" w:val="clear"/>
        </w:rPr>
        <w:t xml:space="preserve">The following table summarizes the components of lease revenue recognized under the Company’s operating and sales-type leases for the three months ended March 31, 2026 and 2025 and included within the Company's Consolidated Statements of Operations (in </w:t>
      </w:r>
      <w:r>
        <w:rPr>
          <w:rFonts w:ascii="Arial;sans-serif" w:hAnsi="Arial;sans-serif"/>
          <w:b w:val="false"/>
          <w:color w:val="000000"/>
          <w:sz w:val="20"/>
        </w:rPr>
        <w:t>thousands):</w:t>
      </w:r>
    </w:p>
    <w:tbl>
      <w:tblPr>
        <w:tblW w:w="6083" w:type="dxa"/>
        <w:jc w:val="left"/>
        <w:tblInd w:w="0" w:type="dxa"/>
        <w:tblLayout w:type="fixed"/>
        <w:tblCellMar>
          <w:top w:w="28" w:type="dxa"/>
          <w:left w:w="28" w:type="dxa"/>
          <w:bottom w:w="28" w:type="dxa"/>
          <w:right w:w="28" w:type="dxa"/>
        </w:tblCellMar>
      </w:tblPr>
      <w:tblGrid>
        <w:gridCol w:w="918"/>
        <w:gridCol w:w="806"/>
        <w:gridCol w:w="810"/>
        <w:gridCol w:w="109"/>
        <w:gridCol w:w="109"/>
        <w:gridCol w:w="109"/>
        <w:gridCol w:w="216"/>
        <w:gridCol w:w="877"/>
        <w:gridCol w:w="111"/>
        <w:gridCol w:w="111"/>
        <w:gridCol w:w="111"/>
        <w:gridCol w:w="111"/>
        <w:gridCol w:w="216"/>
        <w:gridCol w:w="877"/>
        <w:gridCol w:w="111"/>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Lease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contractual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654,667 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818,156 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811,102 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280" w:after="100"/>
        <w:jc w:val="left"/>
        <w:rPr/>
      </w:pPr>
      <w:r>
        <w:rPr>
          <w:rFonts w:ascii="Arial;sans-serif" w:hAnsi="Arial;sans-serif"/>
          <w:b w:val="false"/>
          <w:color w:val="001A33"/>
          <w:sz w:val="28"/>
        </w:rPr>
        <w:t>5. Investments in Unconsolidated Joint Ventures</w:t>
      </w:r>
      <w:r>
        <w:rPr>
          <w:color w:val="000000"/>
        </w:rPr>
        <w:t xml:space="preserv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investments in unconsolidated joint ventures consist of the following at March 31, 2026 and December 31, 2025:</w:t>
      </w:r>
    </w:p>
    <w:tbl>
      <w:tblPr>
        <w:tblW w:w="10205" w:type="dxa"/>
        <w:jc w:val="left"/>
        <w:tblInd w:w="0" w:type="dxa"/>
        <w:tblLayout w:type="fixed"/>
        <w:tblCellMar>
          <w:top w:w="28" w:type="dxa"/>
          <w:left w:w="28" w:type="dxa"/>
          <w:bottom w:w="28" w:type="dxa"/>
          <w:right w:w="28" w:type="dxa"/>
        </w:tblCellMar>
      </w:tblPr>
      <w:tblGrid>
        <w:gridCol w:w="1101"/>
        <w:gridCol w:w="771"/>
        <w:gridCol w:w="613"/>
        <w:gridCol w:w="109"/>
        <w:gridCol w:w="109"/>
        <w:gridCol w:w="109"/>
        <w:gridCol w:w="708"/>
        <w:gridCol w:w="690"/>
        <w:gridCol w:w="698"/>
        <w:gridCol w:w="109"/>
        <w:gridCol w:w="109"/>
        <w:gridCol w:w="109"/>
        <w:gridCol w:w="418"/>
        <w:gridCol w:w="418"/>
        <w:gridCol w:w="1040"/>
        <w:gridCol w:w="123"/>
        <w:gridCol w:w="123"/>
        <w:gridCol w:w="123"/>
        <w:gridCol w:w="219"/>
        <w:gridCol w:w="859"/>
        <w:gridCol w:w="113"/>
        <w:gridCol w:w="109"/>
        <w:gridCol w:w="109"/>
        <w:gridCol w:w="109"/>
        <w:gridCol w:w="212"/>
        <w:gridCol w:w="832"/>
        <w:gridCol w:w="163"/>
      </w:tblGrid>
      <w:tr>
        <w:trPr/>
        <w:tc>
          <w:tcPr>
            <w:tcW w:w="110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Carrying Value of Investment </w:t>
            </w:r>
            <w:r>
              <w:rPr>
                <w:rFonts w:ascii="Arial;sans-serif" w:hAnsi="Arial;sans-serif"/>
                <w:b/>
                <w:color w:val="000000"/>
                <w:sz w:val="10"/>
              </w:rPr>
              <w:t>(1)</w:t>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Nominal % Ownership</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WP Project Developer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Wisconsin Place Land and 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(2)</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Venture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Street, 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501 K Street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1001 6th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Podium Venture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Hub on Causeway - Podium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Tower Developer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Hub50House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 Tower Developer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Hub on Causeway - Hotel Air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Venture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Causeway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Office JV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BNY Tower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Dock 72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(3)</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83,547 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CA-Colorado Center,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7750 Wisconsin Avenue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7750 Wisconsin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(4)</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BP-M 3HB Venture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Hudson Boulevard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 Holdings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58,561 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Portfolio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(4)</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125,576 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Rosecrans-Sepulveda Partners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Beach Cities Media Campus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 REIT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(6)</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PAS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71.11 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(7)</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104,778 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 II/BXP Reston Gateway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Skymark - Reston Next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 JV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74,747 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ABXP Worldgate Investments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13100 and 13150 Worldgate Drive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CAB 290 Coles Venture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290 Coles Street -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(8)</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CAB 290 Coles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290 Coles Street - 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(8)(9)</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17 Hartwell Avenue JV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17 Hartwell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(8)</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838,640 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983,710 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(1)Investments with deficit balances aggregating approximately $16.1 million and $15.6 million at March 31, 2026 and December 31, 2025, respectively, are included within Other Liabilities in the Company’s Consolidated Balance Sheets.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(2)The Company’s wholly-owned subsidiary that owns Wisconsin Place Office also owns a 33.33% interest in the joint venture entity that owns the land, parking garage and infrastructure of the project.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(3)This investment includes net equity balances from the amenity joint venture. The amenity joint venture had a deficit balance of approximately $0.4 million at March 31, 2026 and December 31, 2025.</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Company sold its entire ownership interest during the three months ended March 31, 2026 (See “Dispositions” below in this Note 5.)</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Company completed the sale of the property on September 17, 2025 and is in the process of dissolving this joint venture.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(6)The Company’s ownership includes (1) a 33.0% direct interest in the joint venture, and (2) an additional 1.0% interest in each of the two entities through which each partner owns its interest in the joint venture.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(7)The Company’s ownership includes (1) a 35.79% direct interest in the joint venture, (2) an additional 35.02% indirect ownership in the joint venture, and (3) an additional 1.0% interest in the entity through which the partner owns its interest in the joint venture.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(8)This entity is a VIE (See Note 2).</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(9)The Company agreed to fund up to $65.0 million of the required capital through its preferred equity investment. The Company’s preferred equity investment will earn and accrue a 13.0% internal rate of return (“IRR”) and is to be redeemed, in full, upon the earlier of two years after stabilization of the property or March 5,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Certain of the Company’s unconsolidated joint venture agreements include provisions whereby, at certain specified times, each partner has the right to initiate a purchase or sale of its interest in the joint venture. Under certain of the Company’s joint venture agreements, if certain return thresholds are achieved, one or more partners could be entitled to receive an additional promoted interest or payments.</w:t>
      </w:r>
    </w:p>
    <w:p>
      <w:pPr>
        <w:pStyle w:val="TextBody"/>
        <w:bidi w:val="0"/>
        <w:spacing w:lineRule="auto" w:line="288" w:before="180" w:after="283"/>
        <w:ind w:left="0" w:right="0" w:firstLine="495"/>
        <w:jc w:val="left"/>
        <w:rPr/>
      </w:pPr>
      <w:r>
        <w:rPr>
          <w:rFonts w:ascii="Arial;sans-serif" w:hAnsi="Arial;sans-serif"/>
          <w:b w:val="false"/>
          <w:color w:val="000000"/>
          <w:sz w:val="20"/>
        </w:rPr>
        <w:t>The combined summarized balance sheets of the Company’s unconsolidated joint ventures are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2401"/>
        <w:gridCol w:w="2115"/>
        <w:gridCol w:w="2138"/>
        <w:gridCol w:w="228"/>
        <w:gridCol w:w="1061"/>
        <w:gridCol w:w="117"/>
        <w:gridCol w:w="109"/>
        <w:gridCol w:w="109"/>
        <w:gridCol w:w="109"/>
        <w:gridCol w:w="284"/>
        <w:gridCol w:w="1320"/>
        <w:gridCol w:w="214"/>
      </w:tblGrid>
      <w:tr>
        <w:trPr/>
        <w:tc>
          <w:tcPr>
            <w:tcW w:w="240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Real estate and development in process, net </w:t>
            </w:r>
            <w:r>
              <w:rPr>
                <w:rFonts w:ascii="Arial;sans-serif" w:hAnsi="Arial;sans-serif"/>
                <w:b w:val="false"/>
                <w:color w:val="000000"/>
                <w:sz w:val="12"/>
              </w:rPr>
              <w:t>(1) (2)</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4,258,444 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4,786,058 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assets </w:t>
            </w:r>
            <w:r>
              <w:rPr>
                <w:rFonts w:ascii="Arial;sans-serif" w:hAnsi="Arial;sans-serif"/>
                <w:b w:val="false"/>
                <w:color w:val="000000"/>
                <w:sz w:val="12"/>
              </w:rPr>
              <w:t>(3)</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672,776 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4,874,871 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5,458,834 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MEMBERS’/PARTNERS’ EQUITY</w:t>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and notes payable, net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2,658,548 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liabilities </w:t>
            </w:r>
            <w:r>
              <w:rPr>
                <w:rFonts w:ascii="Arial;sans-serif" w:hAnsi="Arial;sans-serif"/>
                <w:b w:val="false"/>
                <w:color w:val="000000"/>
                <w:sz w:val="12"/>
              </w:rPr>
              <w:t>(4)</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189,125 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Members’/Partners’ equity</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2,056,731 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2,364,644 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members’/partners’ equity</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4,874,871 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5,458,834 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equity</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945,196 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1,084,806 </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Basis differentials </w:t>
            </w:r>
            <w:r>
              <w:rPr>
                <w:rFonts w:ascii="Arial;sans-serif" w:hAnsi="Arial;sans-serif"/>
                <w:b w:val="false"/>
                <w:color w:val="000000"/>
                <w:sz w:val="12"/>
              </w:rPr>
              <w:t>(2) (5)</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(106,556)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(101,096)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Carrying value of the Company’s investments in unconsolidated joint ventures</w:t>
            </w:r>
            <w:r>
              <w:rPr>
                <w:color w:val="000000"/>
              </w:rPr>
              <w:t xml:space="preserve"> </w:t>
            </w:r>
            <w:r>
              <w:rPr>
                <w:rFonts w:ascii="Arial;sans-serif" w:hAnsi="Arial;sans-serif"/>
                <w:b w:val="false"/>
                <w:color w:val="000000"/>
                <w:sz w:val="12"/>
              </w:rPr>
              <w:t>(6)</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838,640 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983,710 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(1)At March 31, 2026 and December 31, 2025, this amount included right of use assets - operating leases totaling approximately $17.6 million and $17.9 million, respectively.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(2)During the year ended December 31, 2025, the joint ventures that own Safeco Plaza and Gateway Commons recognized property-level impairment losses in accordance with ASC 360, “Property, Plant and Equipment”. In prior periods, the Company had impaired its equity method investments to the estimated fair values for these joint ventures; the amounts were recognized as basis differences.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(3)At March 31, 2026 and December 31, 2025, this amount included sales-type lease receivable, net totaling approximately $14.4 million.</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(4)At March 31, 2026 and December 31, 2025, this amount included lease liabilities - operating leases totaling approximately $30.4 million and $30.5 million, respectively.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impairments at the property level, acquisitions through joint ventures with no change in control and upon the transfer of assets that were previously owned by the Company into a joint venture. During the year ended December 31, 2025, the joint ventures that own Gateway Commons and Safeco Plaza recognized property level impairments of approximately $425.8 million and $319.5 million, respectively. During the year ended December 31, 2025, the Company recognized an other-than-temporary impairment loss on its investment in Gateway Commons of approximately $145.1 million. The Company’s basis differentials include:</w:t>
      </w:r>
    </w:p>
    <w:tbl>
      <w:tblPr>
        <w:tblW w:w="5649" w:type="dxa"/>
        <w:jc w:val="left"/>
        <w:tblInd w:w="0" w:type="dxa"/>
        <w:tblLayout w:type="fixed"/>
        <w:tblCellMar>
          <w:top w:w="28" w:type="dxa"/>
          <w:left w:w="28" w:type="dxa"/>
          <w:bottom w:w="28" w:type="dxa"/>
          <w:right w:w="28" w:type="dxa"/>
        </w:tblCellMar>
      </w:tblPr>
      <w:tblGrid>
        <w:gridCol w:w="757"/>
        <w:gridCol w:w="666"/>
        <w:gridCol w:w="676"/>
        <w:gridCol w:w="243"/>
        <w:gridCol w:w="1041"/>
        <w:gridCol w:w="125"/>
        <w:gridCol w:w="109"/>
        <w:gridCol w:w="109"/>
        <w:gridCol w:w="109"/>
        <w:gridCol w:w="302"/>
        <w:gridCol w:w="1292"/>
        <w:gridCol w:w="220"/>
      </w:tblGrid>
      <w:tr>
        <w:trPr/>
        <w:tc>
          <w:tcPr>
            <w:tcW w:w="7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Property</w:t>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131,356 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48,289 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7750 Wisconsin Avenue</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Commons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Dock 72</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(88,420)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(110,805)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(110,815)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(142,677)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basis differentials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basis differentials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(106,556)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(101,096)</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 xml:space="preserve">These basis differentials (excluding land, which is not depreciable) will be amortized over the remaining lives of the related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(6)Investments with deficit balances aggregating approximately $16.1 million and $15.6 million at March 31, 2026 and December 31, 2025, respectively, are reflected within Other Liabilities in the Company’s Consolidated Balance Sheets.</w:t>
      </w:r>
    </w:p>
    <w:p>
      <w:pPr>
        <w:pStyle w:val="TextBody"/>
        <w:bidi w:val="0"/>
        <w:spacing w:lineRule="auto" w:line="288" w:before="400" w:after="283"/>
        <w:ind w:left="0" w:right="0" w:firstLine="495"/>
        <w:jc w:val="left"/>
        <w:rPr/>
      </w:pPr>
      <w:r>
        <w:rPr>
          <w:rFonts w:ascii="Arial;sans-serif" w:hAnsi="Arial;sans-serif"/>
          <w:b w:val="false"/>
          <w:color w:val="000000"/>
          <w:sz w:val="20"/>
        </w:rPr>
        <w:t>The combined summarized statements of operations of the Company’s unconsolidated joint ventures are as follows:</w:t>
      </w:r>
      <w:r>
        <w:rPr>
          <w:color w:val="000000"/>
        </w:rPr>
        <w:t> </w:t>
      </w:r>
    </w:p>
    <w:tbl>
      <w:tblPr>
        <w:tblW w:w="7790" w:type="dxa"/>
        <w:jc w:val="left"/>
        <w:tblInd w:w="0" w:type="dxa"/>
        <w:tblLayout w:type="fixed"/>
        <w:tblCellMar>
          <w:top w:w="28" w:type="dxa"/>
          <w:left w:w="28" w:type="dxa"/>
          <w:bottom w:w="28" w:type="dxa"/>
          <w:right w:w="28" w:type="dxa"/>
        </w:tblCellMar>
      </w:tblPr>
      <w:tblGrid>
        <w:gridCol w:w="1577"/>
        <w:gridCol w:w="1386"/>
        <w:gridCol w:w="1387"/>
        <w:gridCol w:w="216"/>
        <w:gridCol w:w="877"/>
        <w:gridCol w:w="111"/>
        <w:gridCol w:w="111"/>
        <w:gridCol w:w="111"/>
        <w:gridCol w:w="111"/>
        <w:gridCol w:w="216"/>
        <w:gridCol w:w="877"/>
        <w:gridCol w:w="111"/>
        <w:gridCol w:w="109"/>
        <w:gridCol w:w="109"/>
        <w:gridCol w:w="109"/>
        <w:gridCol w:w="109"/>
        <w:gridCol w:w="109"/>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Total revenue </w:t>
            </w:r>
            <w:r>
              <w:rPr>
                <w:rFonts w:ascii="Arial;sans-serif" w:hAnsi="Arial;sans-serif"/>
                <w:b w:val="false"/>
                <w:color w:val="000000"/>
                <w:sz w:val="13"/>
              </w:rPr>
              <w:t>(1)</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79,811 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from early extinguishment of debt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instruments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Loss on sale of real estate </w:t>
            </w:r>
            <w:r>
              <w:rPr>
                <w:rFonts w:ascii="Arial;sans-serif" w:hAnsi="Arial;sans-serif"/>
                <w:b w:val="false"/>
                <w:color w:val="000000"/>
                <w:sz w:val="13"/>
              </w:rPr>
              <w:t>(2)</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(17,301)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net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Gains on sales of investments </w:t>
            </w:r>
            <w:r>
              <w:rPr>
                <w:rFonts w:ascii="Arial;sans-serif" w:hAnsi="Arial;sans-serif"/>
                <w:b w:val="false"/>
                <w:color w:val="000000"/>
                <w:sz w:val="13"/>
              </w:rPr>
              <w:t>(3)</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Basis differential </w:t>
            </w:r>
            <w:r>
              <w:rPr>
                <w:rFonts w:ascii="Arial;sans-serif" w:hAnsi="Arial;sans-serif"/>
                <w:b w:val="false"/>
                <w:color w:val="000000"/>
                <w:sz w:val="13"/>
              </w:rPr>
              <w:t>(4)</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35,413 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straight-line rent adjustments of approximately $0.5 million and $3.4 million for the three months ended March 31, 2026 and 2025, respectively.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(2)Related to a sale that occurred in a prior period.</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(3)During the three months ended March 31, 2026, the Company completed the sale of its entire 50% interest in each of Gateway Commons and 7750 Wisconsin Avenue (See “Dispositions” below).</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(4)Includes depreciation and amortization of approximately $(1.0) million and $(1.4) million for the three months ended March 31, 2026 and 2025, respectively. Includes unrealized losses on derivative instruments of approximately $2.2 million for the three months ended March 31, 2025.</w:t>
      </w:r>
    </w:p>
    <w:p>
      <w:pPr>
        <w:pStyle w:val="TextBody"/>
        <w:bidi w:val="0"/>
        <w:spacing w:lineRule="auto" w:line="288" w:before="240" w:after="283"/>
        <w:jc w:val="left"/>
        <w:rPr>
          <w:rFonts w:ascii="Arial;sans-serif" w:hAnsi="Arial;sans-serif"/>
          <w:b w:val="false"/>
          <w:color w:val="32A7DC"/>
          <w:sz w:val="24"/>
        </w:rPr>
      </w:pPr>
      <w:r>
        <w:rPr>
          <w:rFonts w:ascii="Arial;sans-serif" w:hAnsi="Arial;sans-serif"/>
          <w:b w:val="false"/>
          <w:color w:val="32A7DC"/>
          <w:sz w:val="24"/>
        </w:rPr>
        <w:t>Dispositions</w:t>
      </w:r>
    </w:p>
    <w:p>
      <w:pPr>
        <w:pStyle w:val="TextBody"/>
        <w:bidi w:val="0"/>
        <w:spacing w:lineRule="auto" w:line="288"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represents the Company’s share of the investments that were sold during the three months ended March 31, 2026 and the gains on sales of investments recognized (dollars in thousands):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32"/>
        <w:gridCol w:w="332"/>
        <w:gridCol w:w="333"/>
        <w:gridCol w:w="109"/>
        <w:gridCol w:w="109"/>
        <w:gridCol w:w="109"/>
        <w:gridCol w:w="315"/>
        <w:gridCol w:w="315"/>
        <w:gridCol w:w="319"/>
        <w:gridCol w:w="109"/>
        <w:gridCol w:w="109"/>
        <w:gridCol w:w="109"/>
        <w:gridCol w:w="292"/>
        <w:gridCol w:w="292"/>
        <w:gridCol w:w="293"/>
        <w:gridCol w:w="109"/>
        <w:gridCol w:w="109"/>
        <w:gridCol w:w="109"/>
        <w:gridCol w:w="435"/>
        <w:gridCol w:w="436"/>
        <w:gridCol w:w="227"/>
        <w:gridCol w:w="109"/>
        <w:gridCol w:w="109"/>
        <w:gridCol w:w="109"/>
        <w:gridCol w:w="199"/>
        <w:gridCol w:w="750"/>
        <w:gridCol w:w="111"/>
        <w:gridCol w:w="109"/>
        <w:gridCol w:w="109"/>
        <w:gridCol w:w="109"/>
        <w:gridCol w:w="201"/>
        <w:gridCol w:w="755"/>
        <w:gridCol w:w="111"/>
        <w:gridCol w:w="109"/>
        <w:gridCol w:w="109"/>
        <w:gridCol w:w="109"/>
        <w:gridCol w:w="197"/>
        <w:gridCol w:w="652"/>
        <w:gridCol w:w="163"/>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Ownership Sold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Gross Sale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Cash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Gain on Sale </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Gateway Commons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792,700 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7750 Wisconsin Avenue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Bethesda/Chevy Chase,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735,600 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1,528,300 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365,000 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214,733 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41,234 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Company had previously recognized an other-than-temporary impairment loss on its investment.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(2)Gross sale price includes the partner’s assumption of the Company’s share of the mortgage note, which was $126.0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6. Debt</w:t>
      </w:r>
    </w:p>
    <w:p>
      <w:pPr>
        <w:pStyle w:val="TextBody"/>
        <w:bidi w:val="0"/>
        <w:spacing w:lineRule="auto" w:line="288" w:before="0" w:after="100"/>
        <w:jc w:val="left"/>
        <w:rPr>
          <w:rFonts w:ascii="Arial;sans-serif" w:hAnsi="Arial;sans-serif"/>
          <w:b w:val="false"/>
          <w:color w:val="32A7DC"/>
          <w:sz w:val="24"/>
        </w:rPr>
      </w:pPr>
      <w:r>
        <w:rPr>
          <w:rFonts w:ascii="Arial;sans-serif" w:hAnsi="Arial;sans-serif"/>
          <w:b w:val="false"/>
          <w:color w:val="32A7DC"/>
          <w:sz w:val="24"/>
        </w:rPr>
        <w:t>Unsecured Senior Notes</w:t>
      </w:r>
    </w:p>
    <w:p>
      <w:pPr>
        <w:pStyle w:val="TextBody"/>
        <w:bidi w:val="0"/>
        <w:spacing w:lineRule="auto" w:line="288" w:before="100" w:after="283"/>
        <w:ind w:left="0" w:right="0" w:firstLine="450"/>
        <w:jc w:val="left"/>
        <w:rPr/>
      </w:pPr>
      <w:r>
        <w:rPr>
          <w:rFonts w:ascii="Arial;sans-serif" w:hAnsi="Arial;sans-serif"/>
          <w:b w:val="false"/>
          <w:color w:val="000000"/>
          <w:sz w:val="20"/>
        </w:rPr>
        <w:t>The following summarizes the unsecured senior notes outstanding as of March 31, 2026 (dollars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113"/>
        <w:gridCol w:w="964"/>
        <w:gridCol w:w="969"/>
        <w:gridCol w:w="368"/>
        <w:gridCol w:w="359"/>
        <w:gridCol w:w="936"/>
        <w:gridCol w:w="109"/>
        <w:gridCol w:w="109"/>
        <w:gridCol w:w="109"/>
        <w:gridCol w:w="323"/>
        <w:gridCol w:w="323"/>
        <w:gridCol w:w="722"/>
        <w:gridCol w:w="109"/>
        <w:gridCol w:w="109"/>
        <w:gridCol w:w="109"/>
        <w:gridCol w:w="230"/>
        <w:gridCol w:w="1120"/>
        <w:gridCol w:w="118"/>
        <w:gridCol w:w="109"/>
        <w:gridCol w:w="109"/>
        <w:gridCol w:w="109"/>
        <w:gridCol w:w="503"/>
        <w:gridCol w:w="485"/>
        <w:gridCol w:w="691"/>
      </w:tblGrid>
      <w:tr>
        <w:trPr/>
        <w:tc>
          <w:tcPr>
            <w:tcW w:w="111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Coupon/Stated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Effective 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Maturity Date</w:t>
            </w:r>
            <w:r>
              <w:rPr>
                <w:rFonts w:ascii="Arial;sans-serif" w:hAnsi="Arial;sans-serif"/>
                <w:b/>
                <w:color w:val="000000"/>
                <w:sz w:val="10"/>
              </w:rPr>
              <w:t>(2)</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2026</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6.924 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2027</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4.628 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2028</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21, 2029</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 Year Unsecured Senior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2.900 </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15, 2030</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10.75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2031</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 Year Unsecured Senior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2.550 </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2032</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2033</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 Year Unsecured Senior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6.500 </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6.619 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15, 2034</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5.842 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15, 2035</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principal</w:t>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unamortized discount</w:t>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net</w:t>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8,808,674 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(1)Yield on issuance date including the effects of discounts on the notes, settlements of interest rate contracts and the amortization of financing costs.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(2)No principal amounts are due prior to maturity.</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February 2, 2026, BPLP repaid $1.0 billion in aggregate principal amount of its 3.650% senior notes due February 1, 2026, at par. The repayment was completed with available cash.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7. Derivative Instruments and Hedging Activities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BPLP’s agreements with derivative counterparties contain provisions whereby if BPLP defaults on the underlying indebtedness, including defaults where repayment of the indebtedness has not been accelerated by the lender, then BPLP could also be declared in default of the swap derivative obligation. As of March 31, 2026, the Company had not posted any collateral related to the agreements.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Effective Hedge Instruments</w:t>
      </w:r>
    </w:p>
    <w:p>
      <w:pPr>
        <w:pStyle w:val="TextBody"/>
        <w:bidi w:val="0"/>
        <w:spacing w:lineRule="auto" w:line="288" w:before="100" w:after="283"/>
        <w:ind w:left="0" w:right="0" w:firstLine="495"/>
        <w:jc w:val="left"/>
        <w:rPr/>
      </w:pPr>
      <w:r>
        <w:rPr>
          <w:rFonts w:ascii="Arial;sans-serif" w:hAnsi="Arial;sans-serif"/>
          <w:b w:val="false"/>
          <w:color w:val="000000"/>
          <w:sz w:val="20"/>
        </w:rPr>
        <w:t xml:space="preserve">BPLP assesses the effectiveness of its derivatives both at inception and on an ongoing basis. If the hedges are deemed to be effective, the fair value is recorded in “Accumulated other comprehensive loss” in the Company’s Consolidated Balance Sheets and is subsequently reclassified into “Interest expense” in the Company’s </w:t>
      </w:r>
      <w:r>
        <w:rPr>
          <w:rFonts w:ascii="Arial;sans-serif" w:hAnsi="Arial;sans-serif"/>
          <w:b w:val="false"/>
          <w:color w:val="000000"/>
          <w:sz w:val="20"/>
          <w:shd w:fill="FFFFFF" w:val="clear"/>
        </w:rPr>
        <w:t>Consolidated Statements of Operations</w:t>
      </w:r>
      <w:r>
        <w:rPr>
          <w:color w:val="000000"/>
        </w:rPr>
        <w:t xml:space="preserve"> </w:t>
      </w:r>
      <w:r>
        <w:rPr>
          <w:rFonts w:ascii="Arial;sans-serif" w:hAnsi="Arial;sans-serif"/>
          <w:b w:val="false"/>
          <w:color w:val="000000"/>
          <w:sz w:val="20"/>
        </w:rPr>
        <w:t>in the period that the hedged forecasted transactions affect earnings. BPLP’s derivative financial instruments are cash flow hedges that are designated as effective hedges, and they are carried at their estimated fair value on a recurring basis (See Note 2). The Company did not have any undesignated hedges during the three months ended March 31, 2026.</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BPLP’s derivative contracts consisted of the following at March 31, 2026 (dollars in thousands):</w:t>
      </w:r>
    </w:p>
    <w:tbl>
      <w:tblPr>
        <w:tblW w:w="10205"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246"/>
        <w:gridCol w:w="926"/>
        <w:gridCol w:w="137"/>
        <w:gridCol w:w="109"/>
        <w:gridCol w:w="109"/>
        <w:gridCol w:w="109"/>
        <w:gridCol w:w="374"/>
        <w:gridCol w:w="314"/>
        <w:gridCol w:w="316"/>
        <w:gridCol w:w="109"/>
        <w:gridCol w:w="109"/>
        <w:gridCol w:w="109"/>
        <w:gridCol w:w="291"/>
        <w:gridCol w:w="291"/>
        <w:gridCol w:w="293"/>
        <w:gridCol w:w="109"/>
        <w:gridCol w:w="109"/>
        <w:gridCol w:w="109"/>
        <w:gridCol w:w="255"/>
        <w:gridCol w:w="256"/>
        <w:gridCol w:w="265"/>
        <w:gridCol w:w="128"/>
        <w:gridCol w:w="113"/>
        <w:gridCol w:w="113"/>
        <w:gridCol w:w="263"/>
        <w:gridCol w:w="248"/>
        <w:gridCol w:w="265"/>
        <w:gridCol w:w="109"/>
        <w:gridCol w:w="109"/>
        <w:gridCol w:w="109"/>
        <w:gridCol w:w="350"/>
        <w:gridCol w:w="350"/>
        <w:gridCol w:w="352"/>
        <w:gridCol w:w="109"/>
        <w:gridCol w:w="109"/>
        <w:gridCol w:w="109"/>
        <w:gridCol w:w="196"/>
        <w:gridCol w:w="583"/>
        <w:gridCol w:w="16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Aggregate 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Strike Rate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Balance Sheet Location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Effective 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Low </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High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600,000 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December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October 26,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3.790</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3.798</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April 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April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3.678</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3.678</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900,000 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(3,845)</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location in the financial statements of the gains or (losses) recognized as a result of the Company’s cash flow hedges for the three months ended March 31, 2026 and 2025 (in thousands):</w:t>
      </w:r>
    </w:p>
    <w:tbl>
      <w:tblPr>
        <w:tblW w:w="10205" w:type="dxa"/>
        <w:jc w:val="left"/>
        <w:tblInd w:w="0" w:type="dxa"/>
        <w:tblLayout w:type="fixed"/>
        <w:tblCellMar>
          <w:top w:w="28" w:type="dxa"/>
          <w:left w:w="28" w:type="dxa"/>
          <w:bottom w:w="28" w:type="dxa"/>
          <w:right w:w="28" w:type="dxa"/>
        </w:tblCellMar>
      </w:tblPr>
      <w:tblGrid>
        <w:gridCol w:w="2136"/>
        <w:gridCol w:w="1863"/>
        <w:gridCol w:w="1873"/>
        <w:gridCol w:w="109"/>
        <w:gridCol w:w="109"/>
        <w:gridCol w:w="109"/>
        <w:gridCol w:w="109"/>
        <w:gridCol w:w="109"/>
        <w:gridCol w:w="192"/>
        <w:gridCol w:w="192"/>
        <w:gridCol w:w="372"/>
        <w:gridCol w:w="1140"/>
        <w:gridCol w:w="192"/>
        <w:gridCol w:w="109"/>
        <w:gridCol w:w="109"/>
        <w:gridCol w:w="109"/>
        <w:gridCol w:w="211"/>
        <w:gridCol w:w="785"/>
        <w:gridCol w:w="109"/>
        <w:gridCol w:w="109"/>
        <w:gridCol w:w="159"/>
      </w:tblGrid>
      <w:tr>
        <w:trPr/>
        <w:tc>
          <w:tcPr>
            <w:tcW w:w="2136"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700" w:type="dxa"/>
            <w:gridSpan w:val="8"/>
            <w:tcBorders/>
          </w:tcPr>
          <w:p>
            <w:pPr>
              <w:pStyle w:val="TableContents"/>
              <w:bidi w:val="0"/>
              <w:spacing w:before="0" w:after="283"/>
              <w:jc w:val="left"/>
              <w:rPr>
                <w:sz w:val="4"/>
                <w:szCs w:val="4"/>
              </w:rPr>
            </w:pPr>
            <w:r>
              <w:rPr>
                <w:sz w:val="4"/>
                <w:szCs w:val="4"/>
              </w:rPr>
            </w:r>
          </w:p>
        </w:tc>
      </w:tr>
      <w:tr>
        <w:trPr/>
        <w:tc>
          <w:tcPr>
            <w:tcW w:w="5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Amount of gain (loss) related to the effective portion recognized in other comprehensive income (loss)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Amount of gain (loss) related to the effective portion subsequently reclassified to earnings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related to the ineffective portion and amount excluded from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the Company’s share of gain (loss) related to the effective portion of derivatives outstanding at its unconsolidated joint venture properties.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(2)Includes amounts from previous interest rate programs.</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BPLP has formally documented all of its relationships between hedge instruments and hedging items, as well as its risk-management objectives and strategy for undertaking various hedge transactions. While management believes its judgments are reasonable, a change in a derivative's effectiveness as a hedge could materially affect expenses, net income and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8. Commitments and Contingencies </w:t>
      </w:r>
    </w:p>
    <w:p>
      <w:pPr>
        <w:pStyle w:val="TextBody"/>
        <w:bidi w:val="0"/>
        <w:spacing w:lineRule="auto" w:line="288" w:before="0" w:after="100"/>
        <w:jc w:val="left"/>
        <w:rPr>
          <w:rFonts w:ascii="Arial;sans-serif" w:hAnsi="Arial;sans-serif"/>
          <w:b w:val="false"/>
          <w:color w:val="32A7DC"/>
          <w:sz w:val="24"/>
        </w:rPr>
      </w:pPr>
      <w:r>
        <w:rPr>
          <w:rFonts w:ascii="Arial;sans-serif" w:hAnsi="Arial;sans-serif"/>
          <w:b w:val="false"/>
          <w:color w:val="32A7DC"/>
          <w:sz w:val="24"/>
        </w:rPr>
        <w:t>General</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the normal course of business, the Company guarantees its performance of services or indemnifies third parties against its negligence. In addition, in the normal course of business, the Company guarantees to certain tenants the obligations of the Company’s subsidiaries to complete construction of the building, to pay tenant improvement allowances and brokerage commissions in connection with their leases and limited costs arising from delays in delivery of their premises.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had letters of credit and performance obligations related to lender and development requirements that totaled approximately $32.5 million at March 31, 2026.</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Certain of the Company’s joint venture agreements include provisions whereby, at certain specified times, each partner has the right to initiate a purchase or sale of its interest in the joint venture. From time to time, under certain of the Company’s joint venture agreements, if certain return thresholds are achieved, one or more partners could be entitled to an additional promoted interest or payments.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third-party joint venture partners whereby the partners agree to reimburse the joint venture for their share of any payments made under the guarantee. In some cases, the Company earns a fee from the applicable joint venture for providing the guarantee.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has two mezzanine loan receivables with maximum commitments of $20.0 million and $50.0 million. As of March 31, 2026, the Company has funded approximately $10.2 million and $21.5 million, respectively, under the mezzanine loans.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Legal Matters </w:t>
      </w:r>
    </w:p>
    <w:p>
      <w:pPr>
        <w:pStyle w:val="TextBody"/>
        <w:bidi w:val="0"/>
        <w:spacing w:lineRule="auto" w:line="288" w:before="100" w:after="283"/>
        <w:ind w:left="0" w:right="0" w:firstLine="495"/>
        <w:jc w:val="left"/>
        <w:rPr/>
      </w:pPr>
      <w:r>
        <w:rPr>
          <w:rFonts w:ascii="Arial;sans-serif" w:hAnsi="Arial;sans-serif"/>
          <w:b w:val="false"/>
          <w:color w:val="000000"/>
          <w:sz w:val="20"/>
        </w:rPr>
        <w:t>The Company is subject to various legal proceedings and claims that arise in the ordinary course of business. These matters are generally covered by insurance. Management believes that the final outcome of such matters will not have a material adverse effect on the financial position, results of operations or liquidity of the Company.</w:t>
      </w:r>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addition, the Company is subject to the following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Property Acquisition in New York City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connection with the acquisition of an office property in New York City in 2010, the Company entered into an agreement with the seller pursuant to which the seller could earn various fees (i.e., Fixed, Additional and Final Fees) based on the future leasing performance of the property. The Company initially accrued approximately $1.5 million as an estimate of the fees it would owe the seller. In 2020, the seller filed suit against the Company in the Supreme Court of the State of New York, County of New York, claiming that consideration significantly in excess of the initial reserve amount is owed under the agreement. The disagreement between the Company and the seller involves material issues of contract interpretation and, more importantly, the method of calculating fees, including various inputs (both facts and assumptions) that drive the calculations.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January 25, 2024, the New York Supreme Court granted in part the seller’s motion for summary judgment finding that the Company owes the seller an “Additional Fee” and a “Final Fee” under the terms of the parties’ purchase agreement. The court issued a follow-on order on February 8, 2024, confirming its earlier order that the seller is entitled to the fees described in the parties’ agreement. Other than the “Fixed Fee,” which the Company agreed to pay and for which it had established a reserve of approximately $2.2 million (including interest), the amount of the fees (if any) that are due to the seller has not been determined. On December 9, 2024, the court issued a judgment awarding the seller the Fixed Fee (including interest) of approximately $2.7 million and the Company paid this fee following the judgment. For the Additional Fee and Final Fee, the seller submitted a request for the appointment of a Special Referee on January 7, 2025.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February 18, 2025, a Special Referee was appointed to determine damages for the Additional and Final Fee. The parties held a five-day hearing with the Special Referee during July and August 2025 before filing opening and post-trial briefs in September and October 2025. The Special Referee held an additional hearing in December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Separately, the Company filed a notice of appeal on January 15, 2025 to preserve the Company’s ability to appeal the grant of summary judgment on the question of whether the Company is liable for payment of the Additional Fee and Final Fee. The First Department granted the Company’s request extending the time to perfect the appeal to September 2026.</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disputes the seller’s calculations and intends to continue defending itself vigorously. However, there can be no assurance that the Company will prevail in the lawsuit. If the court ultimately agrees with the seller’s calculations, then amounts due to the seller could theoretically be as high as the additional $25 million claimed in the seller’s revised complaint, plus interest. Although the Company disputes those calculations, there can be no assurance that the Company’s ultimate liability will not be material.</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Brammer Bio MA, LLC</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April 26, 2024, Brammer Bio MA, LLC (“Brammer”), a subsidiary of Thermo Fisher Scientific Inc. and an abutter to the Company’s 290 Binney Street development project located in Cambridge, Massachusetts, filed a complaint in Superior Court in Suffolk County, Massachusetts against the Company relating to certain ongoing construction activities.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the first quarter of 2023, the Company commenced development of 290 Binney Street, an approximately 573,000 net rentable square foot laboratory/life sciences property that is 100% pre-leased to AstraZeneca Pharmaceuticals (“AstraZeneca”). The Company has a 55% interest in the joint venture that owns 290 Binney Street. Brammer subleases the premises at 250 Binney Street, the Company’s approximately 67,000 net rentable square foot life sciences property that is adjacent to 290 Binney Street.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Brammer alleged that, as a result of the Company’s construction of 290 Binney Street, it is threatened with irreparable harm due to intrusion onto the 250 Binney Street premises and the loss of its property rights. Brammer also alleged that the 290 Binney Street development project has caused and is causing major disruption to its manufacturing operations, and that it has suffered and will continue to suffer damages in the form of losses to its clients and customers. Brammer brought the action for quiet title, breach of contract, trespass and nuisance, and it is seeking declaratory and injunctive relief and specific performance purportedly to protect its property interests in the premises located at 250 Binney Street.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16, 2024, Brammer’s motion for a preliminary injunction was denied by the trial court. Brammer subsequently appealed that decision, electing pursuant to Massachusetts civil procedure rules to petition for appeals to both a single justice of the Massachusetts Appeals Court and to a full appellate panel. On July 16, 2024, the single justice assigned to the appeal issued an order declining to rule on the substance of the appeal petition, deferring instead to the full appellate panel. On August 12, 2025, the clerk of the Massachusetts Appeals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completed the procedural steps that were necessary in order for Brammer’s appeal to be heard before the full appellate panel. The parties have completed the briefing process, and the anticipated hearing date is likely to take place sometime in the second quarter of 2026. The remainder of the case continues to proceed in the trial court on the standard litigation timeline.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believes it has meritorious defenses against Brammer’s claims and intends to defend against them vigorously. However, there can be no assurance the Company will prevail in the litigation. If the Company is enjoined from further construction activities, it could suffer delays in construction that could result in its failure to deliver a completed building on the schedule contemplated by the Company’s lease with AstraZeneca or at all, and this could result in owing financial penalties to AstraZeneca and other third parties. Although the Company is unable to estimate a range of loss for all related matters for which losses are reasonably possible, if the court grants injunctive relief or awards monetary damages to Brammer, it could have a material adverse effect on the Company’s results of operations and financial condition.</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New York Police Department Paid Detail Program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is a named defendant in an alleged collective and class action wage and hour lawsuit filed on behalf of certain individuals who provided off-duty, uniformed security services at the Company’s buildings in New York City pursuant to the New York Police Department’s Paid Detail Program. In addition to the Company, the plaintiffs also named as defendants more than ninety (90) other companies. The plaintiffs filed the lawsuit in the United States District Court for the Southern District of New York on January 23, 2025, and brought the claims under the Fair Labor Standards Act, the New York Labor Law and the Freelance Isn’t Free Act. The plaintiffs subsequently filed a first amended complaint and a second amended complaint on February 13, 2025 and February 24, 2025, respectively. On December 15, 2025, the plaintiffs filed a motion for leave to file a Third Amended Complaint, which sought to add approximately eighty-five (85) new defendants to the lawsuit. By court order on February 6, 2026, the court directed the plaintiffs to file the Third Amended Complaint by March 11, 2026 as the operative pleading. The plaintiffs filed the Third Amended Complaint on or about March 11, 2026 and proceeded to serve the Third Amended Complaint on the new defendants to be added to the lawsuit by the court-ordered deadline of April 10, 2026. Consistent with the prior complaints, the Third Amended Complaint alleges that the plaintiffs were not paid certain wages owed to them or were not paid in a timely manner and that the plaintiffs did not receive certain wage payment notices required by law. Pursuant to the current schedule under the court’s February 6, 2026 order, the defendants must answer, move or otherwise respond to the Third Amended Complaint by July 9, 2026. If motions are made in lieu of an answer, the briefing period will run through January 6, 2027. The Company has not yet filed a responsive pleading and discovery has not yet commenced. As a result, the Company is unable to estimate a range of loss for which losses are reasonably possible. Although the Company believes it has meritorious defenses to the claims and intends to defend against them vigorously, there can be no assurance that the Company will prevail in the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9. Noncontrolling Interests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Noncontrolling interests relate to the interests in BPLP not owned by BXP and interests in consolidated property partnerships not wholly-owned by the Company. As of March 31, 2026, the noncontrolling interests in BPLP consisted of the following:</w:t>
      </w:r>
    </w:p>
    <w:tbl>
      <w:tblPr>
        <w:tblW w:w="10205" w:type="dxa"/>
        <w:jc w:val="left"/>
        <w:tblInd w:w="0" w:type="dxa"/>
        <w:tblLayout w:type="fixed"/>
        <w:tblCellMar>
          <w:top w:w="28" w:type="dxa"/>
          <w:left w:w="28" w:type="dxa"/>
          <w:bottom w:w="28" w:type="dxa"/>
          <w:right w:w="28" w:type="dxa"/>
        </w:tblCellMar>
      </w:tblPr>
      <w:tblGrid>
        <w:gridCol w:w="391"/>
        <w:gridCol w:w="342"/>
        <w:gridCol w:w="348"/>
        <w:gridCol w:w="109"/>
        <w:gridCol w:w="109"/>
        <w:gridCol w:w="109"/>
        <w:gridCol w:w="389"/>
        <w:gridCol w:w="388"/>
        <w:gridCol w:w="374"/>
        <w:gridCol w:w="109"/>
        <w:gridCol w:w="109"/>
        <w:gridCol w:w="109"/>
        <w:gridCol w:w="546"/>
        <w:gridCol w:w="543"/>
        <w:gridCol w:w="544"/>
        <w:gridCol w:w="109"/>
        <w:gridCol w:w="109"/>
        <w:gridCol w:w="109"/>
        <w:gridCol w:w="546"/>
        <w:gridCol w:w="543"/>
        <w:gridCol w:w="544"/>
        <w:gridCol w:w="109"/>
        <w:gridCol w:w="109"/>
        <w:gridCol w:w="109"/>
        <w:gridCol w:w="546"/>
        <w:gridCol w:w="543"/>
        <w:gridCol w:w="544"/>
        <w:gridCol w:w="109"/>
        <w:gridCol w:w="109"/>
        <w:gridCol w:w="109"/>
        <w:gridCol w:w="433"/>
        <w:gridCol w:w="413"/>
        <w:gridCol w:w="593"/>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LTIP Units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 MYLTIP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 MYLTIP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 MYLTIP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 OPP Units</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15,675,504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3,111,708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711,864</w:t>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792,017 LTIP Units earned by employees under the Company’s multi-year long-term incentive awards granted between 2012 and 2023 (i.e., 2012 OPP and 2013 - 2023 MYLTIP awards).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Noncontrolling Interest—Common Units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three months ended March 31, 2026, 49,365 OP Units were presented by the holders for redemption (including an aggregate of 12,349 OP Units issued upon conversion of LTIP Units, 2012 OPP Units and MYLTIP Units) and were redeemed by BXP in exchange for an equal number of shares of Common Stock.</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March 31, 2026, BPLP had outstanding the 2024 - 2026 MYLTIP Units and the 2025 OPP Units. Prior to the end of the respective performance period for each plan, holders of LTIP Units issued pursuant to these awards are entitled to receive per unit distributions equal to one-tenth (10%) of the regular quarterly distributions payable on an LTIP Unit, but will not be entitled to receive any special distributions. After the performance period for each plan has ended, (1) the number of LTIP Units, both vested and unvested, that the MYLTIP Unit or 2025 OPP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recipients, as applicable, have earned, if any, based on the establishment of a performance pool, will be entitled to receive distributions in an amount per unit equal to distributions, both regular and special, payable on an LTIP Unit and (2) the Company will make a “catch-up” payment on the LTIP Units that are ultimately earned, if any, in an amount equal to the regular and special dividends, if any, declared during the respective performance period on a number of shares of Common Stock equal to the number of 2024 - 2026 MYLTIP Units or 2025 OPP Units that are earned, less the distributions actually paid during the performance period of each respective award, which (a) for the earned 2024 - 2026 MYLTIP Units will be payable in the form of cash and (b) for the earned 2025 OPP Units will be in the form of additional earned 2025 OPP Units, provided that if the total number of earned 2025 OPP Units would exceed the total number of 2025 OPP Units granted, then such excess shall be paid in cash.</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shows the results for the 2023 MYLTIP awards (after giving effect to employee separation) at the end of its respective three-year measurement period (Aggregate value is shown in millions):</w:t>
      </w:r>
    </w:p>
    <w:tbl>
      <w:tblPr>
        <w:tblW w:w="10205" w:type="dxa"/>
        <w:jc w:val="left"/>
        <w:tblInd w:w="0" w:type="dxa"/>
        <w:tblLayout w:type="fixed"/>
        <w:tblCellMar>
          <w:top w:w="28" w:type="dxa"/>
          <w:left w:w="28" w:type="dxa"/>
          <w:bottom w:w="28" w:type="dxa"/>
          <w:right w:w="28" w:type="dxa"/>
        </w:tblCellMar>
      </w:tblPr>
      <w:tblGrid>
        <w:gridCol w:w="689"/>
        <w:gridCol w:w="607"/>
        <w:gridCol w:w="610"/>
        <w:gridCol w:w="109"/>
        <w:gridCol w:w="109"/>
        <w:gridCol w:w="109"/>
        <w:gridCol w:w="564"/>
        <w:gridCol w:w="564"/>
        <w:gridCol w:w="565"/>
        <w:gridCol w:w="109"/>
        <w:gridCol w:w="109"/>
        <w:gridCol w:w="109"/>
        <w:gridCol w:w="521"/>
        <w:gridCol w:w="514"/>
        <w:gridCol w:w="1362"/>
        <w:gridCol w:w="109"/>
        <w:gridCol w:w="109"/>
        <w:gridCol w:w="109"/>
        <w:gridCol w:w="411"/>
        <w:gridCol w:w="851"/>
        <w:gridCol w:w="214"/>
        <w:gridCol w:w="109"/>
        <w:gridCol w:w="109"/>
        <w:gridCol w:w="109"/>
        <w:gridCol w:w="428"/>
        <w:gridCol w:w="428"/>
        <w:gridCol w:w="569"/>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Final Payout as a %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Forfeited Units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 MYLTIP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168,717 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BPLP’s distributions on the OP Units, LTIP Units, MYLTIP Units and 2025 OPP Units paid or declared in 2026 and during the three months ended March 31, 2025:</w:t>
      </w:r>
    </w:p>
    <w:tbl>
      <w:tblPr>
        <w:tblW w:w="10205" w:type="dxa"/>
        <w:jc w:val="left"/>
        <w:tblInd w:w="0" w:type="dxa"/>
        <w:tblLayout w:type="fixed"/>
        <w:tblCellMar>
          <w:top w:w="28" w:type="dxa"/>
          <w:left w:w="28" w:type="dxa"/>
          <w:bottom w:w="28" w:type="dxa"/>
          <w:right w:w="28" w:type="dxa"/>
        </w:tblCellMar>
      </w:tblPr>
      <w:tblGrid>
        <w:gridCol w:w="619"/>
        <w:gridCol w:w="480"/>
        <w:gridCol w:w="481"/>
        <w:gridCol w:w="109"/>
        <w:gridCol w:w="109"/>
        <w:gridCol w:w="109"/>
        <w:gridCol w:w="463"/>
        <w:gridCol w:w="463"/>
        <w:gridCol w:w="465"/>
        <w:gridCol w:w="109"/>
        <w:gridCol w:w="109"/>
        <w:gridCol w:w="109"/>
        <w:gridCol w:w="918"/>
        <w:gridCol w:w="918"/>
        <w:gridCol w:w="921"/>
        <w:gridCol w:w="109"/>
        <w:gridCol w:w="109"/>
        <w:gridCol w:w="109"/>
        <w:gridCol w:w="1027"/>
        <w:gridCol w:w="1021"/>
        <w:gridCol w:w="1448"/>
      </w:tblGrid>
      <w:tr>
        <w:trPr/>
        <w:tc>
          <w:tcPr>
            <w:tcW w:w="61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Distributions per OP Unit and LTIP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Distributions per MYLTIP Unit and 2025 OPP Units</w:t>
            </w:r>
          </w:p>
        </w:tc>
      </w:tr>
      <w:tr>
        <w:trPr/>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$0.070 </w:t>
            </w:r>
          </w:p>
        </w:tc>
        <w:tc>
          <w:tcPr>
            <w:tcW w:w="1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$0.070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 holder of an OP Unit may present the OP Unit to BPLP for redemption at any time (subject to covenants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Based on the last reported price of a share of Common Stock on the New York Stock Exchange of $51.90 per share on March 31, 2026, the value of the OP Units (other than OP Units owned by BXP), and LTIP Units (including the 2012 OPP Units and 2013 - 2023 MYLTIP Units), assuming in each case that all conditions had been met for the conversion thereof, had all of such units been redeemed at March 31, 2026 was approximately $1.0 billion.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Noncontrolling Interests—Property Partnerships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$2.0 billion at March 31, 2026 and December 31, 2025, are included in Noncontrolling Interests—Property Partnerships on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10. Stockholders’ Equity / Partners’ Capital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As of March 31, 2026, BXP had 158,675,963 shares of Common Stock outstanding.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March 31, 2026, BXP owned 1,774,632 general partnership units and 156,901,331 limited partnership units in BPLP.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March 6, 2026, BXP renewed and increased the size of its “at the market” (“ATM”) stock offering program. Pursuant to the ATM program, BXP may sell from time to time up to an aggregate of $1.0 billion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17, 2026. BXP intends to use the net proceeds from any offering for general business purposes,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include investment opportunities and debt reduction. No shares of Common Stock have been issued under this ATM stock offering program.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three months ended March 31, 2026, BXP issued 49,365 shares of Common Stock in connection with the redemption of an equal number of redeemable OP Units from limited partners.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BXP’s dividends per share and BPLP’s distributions per OP Unit and LTIP Unit paid or declared in 2026 and during the three months ended March 31, 2025:</w:t>
      </w:r>
    </w:p>
    <w:tbl>
      <w:tblPr>
        <w:tblW w:w="8268" w:type="dxa"/>
        <w:jc w:val="left"/>
        <w:tblInd w:w="0" w:type="dxa"/>
        <w:tblLayout w:type="fixed"/>
        <w:tblCellMar>
          <w:top w:w="28" w:type="dxa"/>
          <w:left w:w="28" w:type="dxa"/>
          <w:bottom w:w="28" w:type="dxa"/>
          <w:right w:w="28" w:type="dxa"/>
        </w:tblCellMar>
      </w:tblPr>
      <w:tblGrid>
        <w:gridCol w:w="657"/>
        <w:gridCol w:w="578"/>
        <w:gridCol w:w="579"/>
        <w:gridCol w:w="109"/>
        <w:gridCol w:w="109"/>
        <w:gridCol w:w="109"/>
        <w:gridCol w:w="534"/>
        <w:gridCol w:w="534"/>
        <w:gridCol w:w="536"/>
        <w:gridCol w:w="109"/>
        <w:gridCol w:w="109"/>
        <w:gridCol w:w="109"/>
        <w:gridCol w:w="624"/>
        <w:gridCol w:w="624"/>
        <w:gridCol w:w="626"/>
        <w:gridCol w:w="109"/>
        <w:gridCol w:w="109"/>
        <w:gridCol w:w="109"/>
        <w:gridCol w:w="584"/>
        <w:gridCol w:w="584"/>
        <w:gridCol w:w="827"/>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Distribution (Per Unit)</w:t>
            </w:r>
          </w:p>
        </w:tc>
      </w:tr>
      <w:tr>
        <w:trPr/>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11. Segment Information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enterprise that engage in business activities from which they may earn revenues and incur expenses and about which discrete financial information is available that is evaluated regularly by the Chief Operating Decision Makers (“CODMs”). The CODMs decide how resources should be allocated and assesses performance on a recurring basis, at least quarterly. The Company’s CODMs are its Chief Executive Officer and President. The CODMs review operating performance and financial reports by geographic area and property type. In addition, given the size of the Company’s joint venture portfolio, the CODMs utilize the Company’s share of net operating income (“NOI”), which includes the Company’s share of NOI from consolidated and unconsolidated joint ventures, as its profit or loss measure in assessing each segment’s performance and deciding how to allocate resources.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Company’s share of NOI is used by the CODMs to evaluate the profitability and performance of each geographic area on a consistent and comparable basis, supporting decisions on capital resource allocation, including in connection with development, redevelopment, acquisition and disposition activities in each segment. Additionally, the Company believes its share of NOI is useful as a profit or loss measure and believes it provides useful information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Asset information by segment is not reported because the Company and the CODMs are not provided with the segment asset information and therefore do not use this measure to assess performance or allocate resources. Asset values for the Company’s properties are reported in the Consolidated Balance Sheets at historical cost, which may not reflect current market values. Therefore, depreciation and amortization expense is not allocated among segments. The following are not included in the Company’s share of NOI as they are not necessarily linked to the operating performance of a real estate asset and are often incurred at the corporate level as opposed to the property level: development and management services revenue, direct reimbursements of payroll and related costs from management services contracts, income (loss) from unconsolidated joint ventures, gains on sales of real estate, interest and other income (loss), unrealized gain (loss) on non-real estate investments, corporate general and administrative expense, payroll and related costs from management services contracts, transaction costs, depreciation and amortization expense, loss on sales-type lease, losses from investments in securities, loss from early extinguishment of debt, interest expense and net income attributable to noncontrolling interests. The Company’s share of NOI presented may not be comparable to what is reported by other REITs or real estate companies that define NOI differently.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Company’s segments by geographic area are Boston, Los Angeles, New York, San Francisco, Seattle and Washington, DC. The Company also presents information for each segment by property type, including Office (which includes office, life sciences and retail), Residential and Hotel. The Company shows the different property types as the revenue from each type is derived from non-comparable lease structures.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present reconciliations of the Company’s share of NOI to Net Income Attributable to BXP, Inc. and Net Income Attributable to Boston Properties Limited Partnership for the three months ended March 31, 2026 and 2025.</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BXP</w:t>
      </w:r>
    </w:p>
    <w:tbl>
      <w:tblPr>
        <w:tblW w:w="10205" w:type="dxa"/>
        <w:jc w:val="left"/>
        <w:tblInd w:w="0" w:type="dxa"/>
        <w:tblLayout w:type="fixed"/>
        <w:tblCellMar>
          <w:top w:w="28" w:type="dxa"/>
          <w:left w:w="28" w:type="dxa"/>
          <w:bottom w:w="28" w:type="dxa"/>
          <w:right w:w="28" w:type="dxa"/>
        </w:tblCellMar>
      </w:tblPr>
      <w:tblGrid>
        <w:gridCol w:w="2383"/>
        <w:gridCol w:w="2031"/>
        <w:gridCol w:w="2036"/>
        <w:gridCol w:w="109"/>
        <w:gridCol w:w="109"/>
        <w:gridCol w:w="109"/>
        <w:gridCol w:w="214"/>
        <w:gridCol w:w="872"/>
        <w:gridCol w:w="110"/>
        <w:gridCol w:w="110"/>
        <w:gridCol w:w="110"/>
        <w:gridCol w:w="110"/>
        <w:gridCol w:w="214"/>
        <w:gridCol w:w="872"/>
        <w:gridCol w:w="110"/>
        <w:gridCol w:w="109"/>
        <w:gridCol w:w="109"/>
        <w:gridCol w:w="109"/>
        <w:gridCol w:w="109"/>
        <w:gridCol w:w="109"/>
        <w:gridCol w:w="161"/>
      </w:tblGrid>
      <w:tr>
        <w:trPr/>
        <w:tc>
          <w:tcPr>
            <w:tcW w:w="2383"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706" w:type="dxa"/>
            <w:gridSpan w:val="6"/>
            <w:tcBorders/>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476,667 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494,778 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operating income attributable to 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sales-type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133,006 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86,905 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BXP,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101,576 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BPLP</w:t>
      </w:r>
    </w:p>
    <w:tbl>
      <w:tblPr>
        <w:tblW w:w="10205" w:type="dxa"/>
        <w:jc w:val="left"/>
        <w:tblInd w:w="0" w:type="dxa"/>
        <w:tblLayout w:type="fixed"/>
        <w:tblCellMar>
          <w:top w:w="28" w:type="dxa"/>
          <w:left w:w="28" w:type="dxa"/>
          <w:bottom w:w="28" w:type="dxa"/>
          <w:right w:w="28" w:type="dxa"/>
        </w:tblCellMar>
      </w:tblPr>
      <w:tblGrid>
        <w:gridCol w:w="2383"/>
        <w:gridCol w:w="2031"/>
        <w:gridCol w:w="2036"/>
        <w:gridCol w:w="109"/>
        <w:gridCol w:w="109"/>
        <w:gridCol w:w="109"/>
        <w:gridCol w:w="214"/>
        <w:gridCol w:w="872"/>
        <w:gridCol w:w="110"/>
        <w:gridCol w:w="110"/>
        <w:gridCol w:w="110"/>
        <w:gridCol w:w="110"/>
        <w:gridCol w:w="214"/>
        <w:gridCol w:w="872"/>
        <w:gridCol w:w="110"/>
        <w:gridCol w:w="109"/>
        <w:gridCol w:w="109"/>
        <w:gridCol w:w="109"/>
        <w:gridCol w:w="109"/>
        <w:gridCol w:w="109"/>
        <w:gridCol w:w="161"/>
      </w:tblGrid>
      <w:tr>
        <w:trPr/>
        <w:tc>
          <w:tcPr>
            <w:tcW w:w="2383"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706" w:type="dxa"/>
            <w:gridSpan w:val="6"/>
            <w:tcBorders/>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476,667 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494,778 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operating income attributable to 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sales-type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114,799 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69,859 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a reconciliation of Revenue from the Consolidated Financial Statements to Rental Revenue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368"/>
        <w:gridCol w:w="2033"/>
        <w:gridCol w:w="2049"/>
        <w:gridCol w:w="109"/>
        <w:gridCol w:w="109"/>
        <w:gridCol w:w="109"/>
        <w:gridCol w:w="214"/>
        <w:gridCol w:w="872"/>
        <w:gridCol w:w="110"/>
        <w:gridCol w:w="110"/>
        <w:gridCol w:w="110"/>
        <w:gridCol w:w="110"/>
        <w:gridCol w:w="214"/>
        <w:gridCol w:w="872"/>
        <w:gridCol w:w="110"/>
        <w:gridCol w:w="109"/>
        <w:gridCol w:w="109"/>
        <w:gridCol w:w="109"/>
        <w:gridCol w:w="109"/>
        <w:gridCol w:w="109"/>
        <w:gridCol w:w="161"/>
      </w:tblGrid>
      <w:tr>
        <w:trPr/>
        <w:tc>
          <w:tcPr>
            <w:tcW w:w="2368"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706" w:type="dxa"/>
            <w:gridSpan w:val="6"/>
            <w:tcBorders/>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872,148 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865,215 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rental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858,071 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850,941 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pPr>
      <w:r>
        <w:rPr>
          <w:rFonts w:ascii="Arial;sans-serif" w:hAnsi="Arial;sans-serif"/>
          <w:b w:val="false"/>
          <w:color w:val="000000"/>
          <w:sz w:val="20"/>
          <w:shd w:fill="FFFFFF" w:val="clear"/>
        </w:rPr>
        <w:t>The following tables present the Company’s share of NOI for each geographic segment by</w:t>
      </w:r>
      <w:r>
        <w:rPr>
          <w:color w:val="000000"/>
        </w:rPr>
        <w:t xml:space="preserve"> </w:t>
      </w:r>
      <w:r>
        <w:rPr>
          <w:rFonts w:ascii="Arial;sans-serif" w:hAnsi="Arial;sans-serif"/>
          <w:b w:val="false"/>
          <w:color w:val="000000"/>
          <w:sz w:val="20"/>
        </w:rPr>
        <w:t>property type, including Office (which includes office, life sciences and retail), Residential and Hotel</w:t>
      </w:r>
      <w:r>
        <w:rPr>
          <w:color w:val="000000"/>
          <w:shd w:fill="FFFFFF" w:val="clear"/>
        </w:rPr>
        <w:t xml:space="preserve"> </w:t>
      </w:r>
      <w:r>
        <w:rPr>
          <w:rFonts w:ascii="Arial;sans-serif" w:hAnsi="Arial;sans-serif"/>
          <w:b w:val="false"/>
          <w:color w:val="000000"/>
          <w:sz w:val="20"/>
          <w:shd w:fill="FFFFFF" w:val="clear"/>
        </w:rPr>
        <w:t>for the three months</w:t>
      </w:r>
      <w:r>
        <w:rPr>
          <w:color w:val="000000"/>
        </w:rPr>
        <w:t xml:space="preserve"> </w:t>
      </w:r>
      <w:r>
        <w:rPr>
          <w:rFonts w:ascii="Arial;sans-serif" w:hAnsi="Arial;sans-serif"/>
          <w:b w:val="false"/>
          <w:color w:val="000000"/>
          <w:sz w:val="20"/>
          <w:shd w:fill="FFFFFF" w:val="clear"/>
        </w:rPr>
        <w:t>ended March 31, 2026 and 2025 (dollars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three months ended March 31, 2026:</w:t>
      </w:r>
    </w:p>
    <w:tbl>
      <w:tblPr>
        <w:tblW w:w="12334" w:type="dxa"/>
        <w:jc w:val="left"/>
        <w:tblInd w:w="0" w:type="dxa"/>
        <w:tblLayout w:type="fixed"/>
        <w:tblCellMar>
          <w:top w:w="28" w:type="dxa"/>
          <w:left w:w="28" w:type="dxa"/>
          <w:bottom w:w="28" w:type="dxa"/>
          <w:right w:w="28" w:type="dxa"/>
        </w:tblCellMar>
      </w:tblPr>
      <w:tblGrid>
        <w:gridCol w:w="769"/>
        <w:gridCol w:w="333"/>
        <w:gridCol w:w="27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Rental Revenue: </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844,518 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858,071 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352,064 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506,007 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(51,710)</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22,370 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476,667 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three months ended March 31, 2025:</w:t>
      </w:r>
    </w:p>
    <w:tbl>
      <w:tblPr>
        <w:tblW w:w="12334" w:type="dxa"/>
        <w:jc w:val="left"/>
        <w:tblInd w:w="0" w:type="dxa"/>
        <w:tblLayout w:type="fixed"/>
        <w:tblCellMar>
          <w:top w:w="28" w:type="dxa"/>
          <w:left w:w="28" w:type="dxa"/>
          <w:bottom w:w="28" w:type="dxa"/>
          <w:right w:w="28" w:type="dxa"/>
        </w:tblCellMar>
      </w:tblPr>
      <w:tblGrid>
        <w:gridCol w:w="769"/>
        <w:gridCol w:w="333"/>
        <w:gridCol w:w="27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Rental Revenue: </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828,996 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319,015 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850,941 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339,143 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511,798 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(49,702)</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32,682 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494,778 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12. Earnings Per Share / Common Unit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provides a reconciliation of both the net income attributable to BXP, Inc. and net income attributable to Boston Properties Limited Partnership and the number of common shares / units used in the computation of basic earnings per share (“EPS”), which is calculated by dividing net income attributable to BXP, Inc. or net income attributable to Boston Properties Limited Partnership by the weighted-average number of common shares / units outstanding during the period.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using the two-class method. Participating securities are included in the computation of diluted EPS using the if-converted method if the impact is dilutive. Because the 2012 OPP Units and 2013 - 2023 MYLTIP Units required, and the 2024 - 2026 MYLTIP Units and 2025 OPP Units require, the Company to outperform certain performance thresholds, unless such thresholds have been met by the end of the applicable reporting period, the Company excludes such units from the diluted EPS calculation. Other potentially dilutive common shares, including restricted common stock and other securities of BPLP that are exchangeable for BXP’s Common Stock, and the related impact on earnings, are considered when calculating diluted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pPr>
      <w:r>
        <w:rPr>
          <w:rFonts w:ascii="Arial;sans-serif" w:hAnsi="Arial;sans-serif"/>
          <w:b w:val="false"/>
          <w:color w:val="000000"/>
          <w:sz w:val="20"/>
        </w:rPr>
        <w:t xml:space="preserve">The following tables calculate BXP and BPLP’s earnings per share / unit for the three months ended </w:t>
      </w:r>
      <w:r>
        <w:rPr>
          <w:rFonts w:ascii="Arial;sans-serif" w:hAnsi="Arial;sans-serif"/>
          <w:b w:val="false"/>
          <w:color w:val="000000"/>
          <w:sz w:val="20"/>
          <w:shd w:fill="FFFFFF" w:val="clear"/>
        </w:rPr>
        <w:t>March 31, 2026</w:t>
      </w:r>
      <w:r>
        <w:rPr>
          <w:color w:val="000000"/>
        </w:rPr>
        <w:t xml:space="preserve"> </w:t>
      </w:r>
      <w:r>
        <w:rPr>
          <w:rFonts w:ascii="Arial;sans-serif" w:hAnsi="Arial;sans-serif"/>
          <w:b w:val="false"/>
          <w:color w:val="000000"/>
          <w:sz w:val="20"/>
        </w:rPr>
        <w:t xml:space="preserve">and 2025.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BXP</w:t>
      </w:r>
    </w:p>
    <w:tbl>
      <w:tblPr>
        <w:tblW w:w="10205" w:type="dxa"/>
        <w:jc w:val="left"/>
        <w:tblInd w:w="0" w:type="dxa"/>
        <w:tblLayout w:type="fixed"/>
        <w:tblCellMar>
          <w:top w:w="28" w:type="dxa"/>
          <w:left w:w="28" w:type="dxa"/>
          <w:bottom w:w="28" w:type="dxa"/>
          <w:right w:w="28" w:type="dxa"/>
        </w:tblCellMar>
      </w:tblPr>
      <w:tblGrid>
        <w:gridCol w:w="1885"/>
        <w:gridCol w:w="1661"/>
        <w:gridCol w:w="1664"/>
        <w:gridCol w:w="387"/>
        <w:gridCol w:w="1574"/>
        <w:gridCol w:w="199"/>
        <w:gridCol w:w="199"/>
        <w:gridCol w:w="199"/>
        <w:gridCol w:w="199"/>
        <w:gridCol w:w="387"/>
        <w:gridCol w:w="1381"/>
        <w:gridCol w:w="199"/>
        <w:gridCol w:w="109"/>
        <w:gridCol w:w="162"/>
      </w:tblGrid>
      <w:tr>
        <w:trPr/>
        <w:tc>
          <w:tcPr>
            <w:tcW w:w="188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71" w:type="dxa"/>
            <w:gridSpan w:val="2"/>
            <w:tcBorders/>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Computation of Basic and Diluted Earnings Per Share:</w:t>
            </w:r>
          </w:p>
        </w:tc>
        <w:tc>
          <w:tcPr>
            <w:tcW w:w="4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(amounts presented in thousands, except per share data)</w:t>
            </w:r>
          </w:p>
        </w:tc>
        <w:tc>
          <w:tcPr>
            <w:tcW w:w="271" w:type="dxa"/>
            <w:gridSpan w:val="2"/>
            <w:tcBorders/>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BXP, Inc.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BXP, Inc. - basic </w:t>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101,576 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BXP, Inc. - diluted</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101,576 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Weighted average common shares outstanding </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158,555 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158,202 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Stock Based Compensation </w:t>
            </w:r>
            <w:r>
              <w:rPr>
                <w:rFonts w:ascii="Arial;sans-serif" w:hAnsi="Arial;sans-serif"/>
                <w:b w:val="false"/>
                <w:color w:val="000000"/>
                <w:sz w:val="13"/>
              </w:rPr>
              <w:t>(1)</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159,056 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158,632 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BXP, Inc. - basic earnings per share</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BXP, Inc. - diluted earnings per share</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pPr>
      <w:r>
        <w:rPr>
          <w:rFonts w:ascii="Arial;sans-serif" w:hAnsi="Arial;sans-serif"/>
          <w:b w:val="false"/>
          <w:color w:val="000000"/>
          <w:sz w:val="18"/>
        </w:rPr>
        <w:t xml:space="preserve">(1)During the three months ended </w:t>
      </w:r>
      <w:r>
        <w:rPr>
          <w:rFonts w:ascii="Arial;sans-serif" w:hAnsi="Arial;sans-serif"/>
          <w:b w:val="false"/>
          <w:color w:val="000000"/>
          <w:sz w:val="18"/>
          <w:shd w:fill="FFFFFF" w:val="clear"/>
        </w:rPr>
        <w:t xml:space="preserve">March 31, 2026 </w:t>
      </w:r>
      <w:r>
        <w:rPr>
          <w:rFonts w:ascii="Arial;sans-serif" w:hAnsi="Arial;sans-serif"/>
          <w:b w:val="false"/>
          <w:color w:val="000000"/>
          <w:sz w:val="18"/>
        </w:rPr>
        <w:t>and 2025, there were approximately 1,117,298 and 665,381 unvested performance-based restricted common stock and LTIP Units, respectively, that were not included in the computation of diluted earnings per share because to do so would have been antidilutive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420" w:after="100"/>
        <w:jc w:val="left"/>
        <w:rPr>
          <w:rFonts w:ascii="Arial;sans-serif" w:hAnsi="Arial;sans-serif"/>
          <w:b w:val="false"/>
          <w:color w:val="32A7DC"/>
          <w:sz w:val="24"/>
        </w:rPr>
      </w:pPr>
      <w:r>
        <w:rPr>
          <w:rFonts w:ascii="Arial;sans-serif" w:hAnsi="Arial;sans-serif"/>
          <w:b w:val="false"/>
          <w:color w:val="32A7DC"/>
          <w:sz w:val="24"/>
        </w:rPr>
        <w:t>BPLP</w:t>
      </w:r>
    </w:p>
    <w:tbl>
      <w:tblPr>
        <w:tblW w:w="10205" w:type="dxa"/>
        <w:jc w:val="left"/>
        <w:tblInd w:w="0" w:type="dxa"/>
        <w:tblLayout w:type="fixed"/>
        <w:tblCellMar>
          <w:top w:w="28" w:type="dxa"/>
          <w:left w:w="28" w:type="dxa"/>
          <w:bottom w:w="28" w:type="dxa"/>
          <w:right w:w="28" w:type="dxa"/>
        </w:tblCellMar>
      </w:tblPr>
      <w:tblGrid>
        <w:gridCol w:w="2107"/>
        <w:gridCol w:w="1856"/>
        <w:gridCol w:w="1861"/>
        <w:gridCol w:w="337"/>
        <w:gridCol w:w="1370"/>
        <w:gridCol w:w="173"/>
        <w:gridCol w:w="173"/>
        <w:gridCol w:w="173"/>
        <w:gridCol w:w="173"/>
        <w:gridCol w:w="337"/>
        <w:gridCol w:w="1202"/>
        <w:gridCol w:w="173"/>
        <w:gridCol w:w="109"/>
        <w:gridCol w:w="161"/>
      </w:tblGrid>
      <w:tr>
        <w:trPr/>
        <w:tc>
          <w:tcPr>
            <w:tcW w:w="210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70" w:type="dxa"/>
            <w:gridSpan w:val="2"/>
            <w:tcBorders/>
          </w:tcPr>
          <w:p>
            <w:pPr>
              <w:pStyle w:val="TableContents"/>
              <w:bidi w:val="0"/>
              <w:spacing w:before="0" w:after="283"/>
              <w:jc w:val="left"/>
              <w:rPr>
                <w:sz w:val="4"/>
                <w:szCs w:val="4"/>
              </w:rPr>
            </w:pPr>
            <w:r>
              <w:rPr>
                <w:sz w:val="4"/>
                <w:szCs w:val="4"/>
              </w:rPr>
            </w:r>
          </w:p>
        </w:tc>
      </w:tr>
      <w:tr>
        <w:trPr/>
        <w:tc>
          <w:tcPr>
            <w:tcW w:w="5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Computation of Basic and Diluted Earnings Per Unit:</w:t>
            </w:r>
          </w:p>
        </w:tc>
        <w:tc>
          <w:tcPr>
            <w:tcW w:w="4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(amounts presented in thousands, except per unit data)</w:t>
            </w:r>
          </w:p>
        </w:tc>
        <w:tc>
          <w:tcPr>
            <w:tcW w:w="270" w:type="dxa"/>
            <w:gridSpan w:val="2"/>
            <w:tcBorders/>
          </w:tcPr>
          <w:p>
            <w:pPr>
              <w:pStyle w:val="TableContents"/>
              <w:bidi w:val="0"/>
              <w:spacing w:before="0" w:after="283"/>
              <w:jc w:val="left"/>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 basic</w:t>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114,799 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69,859 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 diluted</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114,799 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69,859 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Weighted average common units outstanding </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units outstanding - basic</w:t>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175,752 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Stock Based Compensation </w:t>
            </w:r>
            <w:r>
              <w:rPr>
                <w:rFonts w:ascii="Arial;sans-serif" w:hAnsi="Arial;sans-serif"/>
                <w:b w:val="false"/>
                <w:color w:val="000000"/>
                <w:sz w:val="13"/>
              </w:rPr>
              <w:t>(1)</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units outstanding - diluted</w:t>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176,819 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176,182 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basic earnings per unit</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diluted earnings per unit</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common units included in weighted average common units</w:t>
            </w:r>
          </w:p>
        </w:tc>
        <w:tc>
          <w:tcPr>
            <w:tcW w:w="170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17,763 </w:t>
            </w:r>
          </w:p>
        </w:tc>
        <w:tc>
          <w:tcPr>
            <w:tcW w:w="1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17,550 </w:t>
            </w:r>
          </w:p>
        </w:tc>
        <w:tc>
          <w:tcPr>
            <w:tcW w:w="1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pPr>
      <w:r>
        <w:rPr>
          <w:rFonts w:ascii="Arial;sans-serif" w:hAnsi="Arial;sans-serif"/>
          <w:b w:val="false"/>
          <w:color w:val="000000"/>
          <w:sz w:val="18"/>
        </w:rPr>
        <w:t xml:space="preserve">(1)During the three months ended </w:t>
      </w:r>
      <w:r>
        <w:rPr>
          <w:rFonts w:ascii="Arial;sans-serif" w:hAnsi="Arial;sans-serif"/>
          <w:b w:val="false"/>
          <w:color w:val="000000"/>
          <w:sz w:val="18"/>
          <w:shd w:fill="FFFFFF" w:val="clear"/>
        </w:rPr>
        <w:t xml:space="preserve">March 31, 2026 </w:t>
      </w:r>
      <w:r>
        <w:rPr>
          <w:rFonts w:ascii="Arial;sans-serif" w:hAnsi="Arial;sans-serif"/>
          <w:b w:val="false"/>
          <w:color w:val="000000"/>
          <w:sz w:val="18"/>
        </w:rPr>
        <w:t xml:space="preserve">and 2025, there were approximately 1,117,298 and 665,381 unvested performance-based restricted common stock and LTIP Units, respectively, that were not included in the computation of diluted earnings per unit because to do so would have been antidilutive for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13. Stock Option and Incentive Plan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2026 MYLTIP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On February 3, 2026, BXP’s Compensation Committee approved the 2026 Multi-Year Long-Term Incentive Program (the “2026 MYLTIP”) awards under the BXP, Inc. 2021 Stock Incentive Plan (the “2021 Plan”) to certain executive officers of BXP. The 2026 MYLTIP awards consist of three components. Two of the components are each weighted 40% and utilize BXP’s TSR and BXP’s diluted Funds from Operations (“FFO”) per share growth, respectively, over a three-year measurement period as market condition and performance metrics, respectively, and the third component utilizes a leverage ratio as the performance metric. Earned awards will range from zero to a maximum of 458,393 LTIP Units depending on BXP’s performance under the three components, with a target of approximately 229,195 LTIP Units. Under ASC 718 “Compensation – Stock Compensation” (“ASC 718”), the 2026 MYLTIP awards have an aggregate value of approximately $14.6 million.</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 xml:space="preserve">2023 MYLTIP Measurement Period Results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shows the results for the 2023 MYLTIP awards (after giving effect to employee separations) at the end of its respective three-year measurement period (Aggregate value is shown in millions):</w:t>
      </w:r>
    </w:p>
    <w:tbl>
      <w:tblPr>
        <w:tblW w:w="10205" w:type="dxa"/>
        <w:jc w:val="left"/>
        <w:tblInd w:w="0" w:type="dxa"/>
        <w:tblLayout w:type="fixed"/>
        <w:tblCellMar>
          <w:top w:w="28" w:type="dxa"/>
          <w:left w:w="28" w:type="dxa"/>
          <w:bottom w:w="28" w:type="dxa"/>
          <w:right w:w="28" w:type="dxa"/>
        </w:tblCellMar>
      </w:tblPr>
      <w:tblGrid>
        <w:gridCol w:w="689"/>
        <w:gridCol w:w="607"/>
        <w:gridCol w:w="610"/>
        <w:gridCol w:w="109"/>
        <w:gridCol w:w="109"/>
        <w:gridCol w:w="109"/>
        <w:gridCol w:w="564"/>
        <w:gridCol w:w="564"/>
        <w:gridCol w:w="565"/>
        <w:gridCol w:w="109"/>
        <w:gridCol w:w="109"/>
        <w:gridCol w:w="109"/>
        <w:gridCol w:w="521"/>
        <w:gridCol w:w="514"/>
        <w:gridCol w:w="1362"/>
        <w:gridCol w:w="109"/>
        <w:gridCol w:w="109"/>
        <w:gridCol w:w="109"/>
        <w:gridCol w:w="411"/>
        <w:gridCol w:w="851"/>
        <w:gridCol w:w="214"/>
        <w:gridCol w:w="109"/>
        <w:gridCol w:w="109"/>
        <w:gridCol w:w="109"/>
        <w:gridCol w:w="428"/>
        <w:gridCol w:w="428"/>
        <w:gridCol w:w="569"/>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Final Payout as a %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Forfeited Units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 MYLTIP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168,717 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Issuances (Restricted Stock, LTIP Units and MYLTIP Units)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shows information for restricted common stock issued by BXP, Inc. and LTIP Units and 2026 MYLTIP Units that were issued by BPLP during the three months ended March 31, 2026 (Value is shown in millions):</w:t>
      </w:r>
    </w:p>
    <w:tbl>
      <w:tblPr>
        <w:tblW w:w="5503" w:type="dxa"/>
        <w:jc w:val="left"/>
        <w:tblInd w:w="0" w:type="dxa"/>
        <w:tblLayout w:type="fixed"/>
        <w:tblCellMar>
          <w:top w:w="28" w:type="dxa"/>
          <w:left w:w="28" w:type="dxa"/>
          <w:bottom w:w="28" w:type="dxa"/>
          <w:right w:w="28" w:type="dxa"/>
        </w:tblCellMar>
      </w:tblPr>
      <w:tblGrid>
        <w:gridCol w:w="952"/>
        <w:gridCol w:w="840"/>
        <w:gridCol w:w="847"/>
        <w:gridCol w:w="109"/>
        <w:gridCol w:w="109"/>
        <w:gridCol w:w="109"/>
        <w:gridCol w:w="434"/>
        <w:gridCol w:w="434"/>
        <w:gridCol w:w="436"/>
        <w:gridCol w:w="109"/>
        <w:gridCol w:w="109"/>
        <w:gridCol w:w="109"/>
        <w:gridCol w:w="211"/>
        <w:gridCol w:w="541"/>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Value </w:t>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Common Stock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LTIP Units </w:t>
            </w:r>
            <w:r>
              <w:rPr>
                <w:rFonts w:ascii="Arial;sans-serif" w:hAnsi="Arial;sans-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431,092 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2026 MYLTIP Units </w:t>
            </w:r>
            <w:r>
              <w:rPr>
                <w:rFonts w:ascii="Arial;sans-serif" w:hAnsi="Arial;sans-serif"/>
                <w:b w:val="false"/>
                <w:color w:val="000000"/>
                <w:sz w:val="13"/>
              </w:rPr>
              <w:t xml:space="preserve">(2)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458,393 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(1)The value is measured at fair value on the date of grant based on the number of shares granted and the closing price of BXP’s Common Stock on the date of grant as quoted on the New York Stock Exchange.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(2)The grantees paid $0.25 per LTIP Unit and 2026 MYLTIP Unit.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LTIP Units granted were valued using a Monte Carlo simulation method model in accordance with the provisions of ASC 718. </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A majority of the grants of restricted common stock and LTIP Units to employees vest in four equal annual installments. Because the 2012 OPP Units, 2025 OPP Units and 2013 - 2026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BXP, Inc.’s Consolidated Balance Sheets and Partners’ Capital in Boston Properties Limited Partnership’s Consolidated Balance Sheets. Aggregate stock-based compensation expense associated with restricted common stock, LTIP Units, OPP Units and MYLTIP Units was approximately $26.0 million and $23.0 million for the three months ended March 31, 2026 and March 31, 2025, respectively. At March 31, 2026, there was (1) an aggregate of approximately $37.2 million of unrecognized compensation expense related to unvested restricted common stock and LTIP Units and (2) an aggregate of approximately $34.7 million of unrecognized compensation expense related to unvested 2024 - 2026 MYLTIP Units and 2025 OPP Units that is expected to be recognized over a weighted-average period of approximately 3.2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pPr>
      <w:r>
        <w:rPr>
          <w:rFonts w:ascii="Arial;sans-serif" w:hAnsi="Arial;sans-serif"/>
          <w:b w:val="false"/>
          <w:color w:val="001A33"/>
          <w:sz w:val="28"/>
        </w:rPr>
        <w:t>14. Subsequent Events</w:t>
      </w:r>
      <w:r>
        <w:rPr>
          <w:color w:val="000000"/>
        </w:rPr>
        <w:t xml:space="preserve"> </w:t>
      </w:r>
    </w:p>
    <w:p>
      <w:pPr>
        <w:pStyle w:val="TextBody"/>
        <w:bidi w:val="0"/>
        <w:spacing w:lineRule="auto" w:line="256"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On April 17, 2026, the Company completed the sale of Kingstowne Retail located in Alexandria, Virginia for a gross sale price of $19.7 million. Kingstowne Retail is a retail property with approximately 88,000 net rentable square feet. </w:t>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left"/>
        <w:rPr>
          <w:rFonts w:ascii="Arial;sans-serif" w:hAnsi="Arial;sans-serif"/>
          <w:b w:val="false"/>
          <w:color w:val="32A7DC"/>
          <w:sz w:val="28"/>
        </w:rPr>
      </w:pPr>
      <w:r>
        <w:rPr>
          <w:rFonts w:ascii="Arial;sans-serif" w:hAnsi="Arial;sans-serif"/>
          <w:b w:val="false"/>
          <w:color w:val="32A7DC"/>
          <w:sz w:val="28"/>
        </w:rPr>
        <w:t>Item 2—Management’s Discussion and Analysis of Financial Condition and Results of Operations.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discussion should be read in conjunction with the financial statements and notes thereto appearing elsewhere in this report.</w:t>
      </w:r>
    </w:p>
    <w:p>
      <w:pPr>
        <w:pStyle w:val="TextBody"/>
        <w:bidi w:val="0"/>
        <w:spacing w:lineRule="auto" w:line="288" w:before="180" w:after="283"/>
        <w:ind w:left="0" w:right="0" w:firstLine="495"/>
        <w:jc w:val="left"/>
        <w:rPr/>
      </w:pPr>
      <w:r>
        <w:rPr>
          <w:rFonts w:ascii="Arial;sans-serif" w:hAnsi="Arial;sans-serif"/>
          <w:b w:val="false"/>
          <w:color w:val="000000"/>
          <w:sz w:val="20"/>
        </w:rPr>
        <w:t xml:space="preserve">This Quarterly Report on Form 10-Q, including the documents incorporated by reference herein, contain forward-looking statements within the meaning of the federal securities laws,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w:t>
      </w:r>
      <w:r>
        <w:rPr>
          <w:color w:val="212529"/>
        </w:rPr>
        <w:t>“</w:t>
      </w:r>
      <w:r>
        <w:rPr>
          <w:rFonts w:ascii="Arial;sans-serif" w:hAnsi="Arial;sans-serif"/>
          <w:b w:val="false"/>
          <w:i/>
          <w:color w:val="000000"/>
          <w:sz w:val="20"/>
        </w:rPr>
        <w:t xml:space="preserve">Risk Factors” and “Management’s Discussion and Analysis of Financial Condition and Results of Operations.” </w:t>
      </w:r>
      <w:r>
        <w:rPr>
          <w:rFonts w:ascii="Arial;sans-serif" w:hAnsi="Arial;sans-serif"/>
          <w:b w:val="false"/>
          <w:color w:val="000000"/>
          <w:sz w:val="20"/>
        </w:rPr>
        <w:t>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Some of the risks and uncertainties that may cause actual results to differ materially from those expressed or implied by the forward-looking statements include the following risks and uncertainties, among others: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rPr>
        <w:t>risks associated with the availability and terms of financing, the use of debt to fund acquisitions and developments or refinance existing indebtedness, including the impact of higher interest rates on the cost and/or availability of financing and the use of forward interest rate contracts and derivatives and the effectiveness of such arrangements;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failure to integrate acquisitions and developments successfully;</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rPr>
        <w:t>risks and uncertainties affecting property development and construction;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ability of our joint venture partners to satisfy their obligations;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actual or threatened terrorist attacks;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costs of compliance with the Americans with Disabilities Act and other similar laws;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potential liability for uninsured losses and environmental contamination;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climate change and severe weather events, as well as the regulatory efforts intended to reduce the effects of climate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risks associated with our use of AI and cyber security breaches, incidents and compromises, as well as other significant disruptions of our information technology (IT) networks and related systems, which support our operations and our buildings;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legal proceedings and other claims that could result in substantial monetary damages and other costs;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BXP’s potential failure to qualify as a REIT under the Internal Revenue Code of 1986, as amended (the “Code”);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possible adverse changes in tax and environmental laws;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impact of newly adopted accounting principles on our accounting policies and on period-to-period comparisons of financial results;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possible state and local tax audits;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our dependence on key personnel whose continued service is not guaranteed.</w:t>
      </w:r>
    </w:p>
    <w:p>
      <w:pPr>
        <w:pStyle w:val="TextBody"/>
        <w:bidi w:val="0"/>
        <w:spacing w:lineRule="auto" w:line="288" w:before="280" w:after="283"/>
        <w:ind w:left="0" w:right="0" w:firstLine="450"/>
        <w:jc w:val="left"/>
        <w:rPr>
          <w:rFonts w:ascii="Arial;sans-serif" w:hAnsi="Arial;sans-serif"/>
          <w:b w:val="false"/>
          <w:color w:val="000000"/>
          <w:sz w:val="20"/>
        </w:rPr>
      </w:pPr>
      <w:r>
        <w:rPr>
          <w:rFonts w:ascii="Arial;sans-serif" w:hAnsi="Arial;sans-serif"/>
          <w:b w:val="false"/>
          <w:color w:val="000000"/>
          <w:sz w:val="20"/>
        </w:rPr>
        <w:t>Investors are also urged to carefully review the disclosures we make concerning these risks and other factors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that may affect our business and operating results, including the risks and uncertainties described in (i) our Annual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Report on Form 10-K for the fiscal year ended December 31, 2025 including those described under the caption</w:t>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Risk Factors,” (ii) our subsequent filings under the Exchange Act and (iii) the risk factors set forth in this Quarterly Report on Form 10-Q in Part II, Item 1A, if any.</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unduly rely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our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Overview</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BXP is one of the largest publicly traded office REITs (based on total market capitalization as of March 31, 2026) in the United States that develops, owns, and manages primarily premier workplaces. Our properties are concentrated in six gateway markets in the U.S. - Boston, Los Angeles, New York, San Francisco, Seattle and Washington, DC.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We generate revenue and cash primarily by leasing premier workplaces to our clients. 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best and brightest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 allowances, free rent periods and other landlord concessions, anticipated operating expenses and real estate taxes, the date by which we expect to begin revenue recognition for the lease under GAAP, current and anticipated vacancy in our properties and the market overall (including sublease space), current and expected future demand for the space, the impact of other clients’ expansion rights and general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believe our key competitive advantages are our commitments to the office asset class and to our clients as many competitors have divested from the sector, a strong balance sheet with access to capital in the secured and unsecured debt markets and the private and public equity markets, and the high quality of our portfolio of premier workplaces. Our core strategy has always been to develop, acquire and manage premier workplaces in gateway markets with high barriers-to-entry and attractive demand drivers and to focus on executing long-term leases with financially strong clients that are diverse across market sectors. We believe this strategy provides a competitive advantage as our clients are interested in leasing space in vibrant, amenitized and accessible premier workplaces. This interest has accelerated the flight to quality in the office market. Over the past several years, BXP’s experience and performance has diverged from the larger market and media sentiment, as premier workplaces have outperformed the broader office market consistently and substantially in both rental rates achieved and occupancy. We believe this divergence validates our strategy and differentiates BXP from other office companies.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Premier workplaces in our five traditional central business district (“CBD”) markets (Boston, New York, San Francisco, Seattle and Washington, DC) have consistently outperformed the broader office market in those CBDs on several key metrics, including occupancy, net absorption levels, rental rates and landlord concessions. This outperformance is evident in BXP’s portfolio where we derive approximately 90% of our share of annualized rental obligations from predominantly premier workplaces located in CBDs. We define annualized rental obligations as the monthly contractual base rent (excluding percentage rent and rent abatements) and budgeted reimbursements from clients under existing leases as of March 31, 2026, multiplied by twelve. Our share of annualized rental obligations is calculated as the consolidated amount, plus our share of the amount from our unconsolidated joint ventures (calculated based on our economic percentage ownership interest), less our partners’ share of the amount from our consolidated joint ventures (calculated based on the partners’ economic percentage ownership interest). As of March 31, 2026, our CBD assets were 89.9% occupied and 93.4% leased (including vacant space for which we have signed leases that have not yet commenced in accordance with GAAP).</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As of March 31, 2026, the weighted-average remaining lease term for (1) our in-place leases, based on square feet, including those signed by our unconsolidated joint ventures but excluding residential units, was approximately 7.6 years, and (2) our 20 largest clients, based on square feet, was approximately 9.1 years. Through year-end 2027, we have relatively low exposure to contractual lease expirations with approximately 6.3% of our share of the square footage of our in-service portfolio expiring.</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first quarter of 2026, BXP continued to successfully execute on the multi-year strategic action plan introduced at our September 2025 Investor Day. The action plan focuses on earnings growth, which we expect will be achieved through a combination of increased occupancy and development deliveries, and reducing leverage through asset sales and retention of cash flow. Our progress reflects steady advancement across these key priorities.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Growth in Funds from Operations (“FFO”) per share depends in large part on the success of our leasing activity. Leasing momentum remained strong during the first quarter of 2026, as we signed leases for more than 1.1 million square feet.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Consistent with the strategic asset sales plan outlined at our September 2025 Investor Day, BXP has generated approximately $1.2 billion of aggregate net proceeds from completed asset sales through May 1, 2026, including approximately $358.1 million in 2026, further enhancing balance sheet flexibility and supporting our capital needs and strategic priorities.</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During the first quarter, we completed the sales of North First Business Park in San Jose, CA, a land parcel in Rockville, MD, The Lofts at Atlantic Wharf in Boston, MA, and BXP’s ownership interest in each of Gateway Commons in South San Francisco, CA and 7750 Wisconsin Avenue in Bethesda, MD. The aggregate gross sales price of these residential, land and non-strategic office sales totaled approximately $495.7 million, resulting in net proceeds of approximately $339.0 million and gains on sales of real estate and our investment in joint ventures of approximately $54.7 million, in each case based on BXP’s share.</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Outlook</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Leasing conditions across BXP’s portfolio remain constructive, supported by continued client demand in premier office locations and tangible progress in leasing execution. Leasing activity has been increasingly concentrated in our highest</w:t>
        <w:noBreakHyphen/>
        <w:t>quality, well</w:t>
        <w:noBreakHyphen/>
        <w:t>located CBD assets, including Midtown Manhattan, the Back Bay of Boston, Reston Town Center, and select submarkets in San Francisco, where tightening availability and improving demand dynamics are translating into meaningful leasing momentum. Demand has also broadened in certain West Coast markets, particularly within South of Market San Francisco and Santa Monica, reflecting renewed interest from expanding and relocating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Looking ahead, leasing for vacant space in our in-service buildings and coverage of near</w:t>
        <w:noBreakHyphen/>
        <w:t>term lease expirations are expected to be the primary drivers of occupancy and same</w:t>
        <w:noBreakHyphen/>
        <w:t>store revenue growth. We have a manageable level of remaining 2026 expirations, a growing pipeline of active negotiations, and a meaningful volume of executed leases scheduled to commence this year. Together, these factors provide increased visibility into continued occupancy improvement and support our expectation of achieving year</w:t>
        <w:noBreakHyphen/>
        <w:t>end 2026 occupancy targets consistent with those outlined at our September 2025 Investor Day.</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On the supply side, new office construction has effectively slowed to a halt across most of our markets, which we expect will result in improved long</w:t>
        <w:noBreakHyphen/>
        <w:t>term supply</w:t>
        <w:noBreakHyphen/>
        <w:t>demand fundamentals and reinforcement of the relative competitiveness of institutional, well</w:t>
        <w:noBreakHyphen/>
        <w:t>amenitized assets. Capital markets sentiment toward the office sector has continued to improve, as reflected in increasing private market transaction activity and greater availability of both debt and equity capital at more attractive pricing. This backdrop is expected to support our leasing momentum, facilitate orderly execution of strategic asset sales, and enable continued capital recycling initiatives throughout 2026.</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Leasing Activity and Occupancy</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Although all of the markets in which we operate still need consistent incremental absorption to constitute a macro recovery, we continue to see pockets of strength where low availability is driving constructive client behavior. As clients choose financially sound premier workplaces with building owners that are committed to their properties for the long term and are operated by the best property management teams, we expect to continue to be successful in gaining market share.</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the first quarter of 2026, we executed 68 leases totaling more than 1.1 million square feet with a weighted-average lease term of approximately 8.7 years.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March 31, 2026, BXP’s total in-service portfolio occupancy was 87.4%, an increase of 70 basis points from the fourth quarter of 2025. Total portfolio leased percentage was 90.9% (including vacant space for which we have signed leases that have not yet commenced revenue recognition in accordance with GAAP), an increase of 150 basis points from the fourth quarter of 2025. The spread between leased and occupied square footage has grown to 350 basis points, representing approximately 1.6 million square feet of leases yet to commence, of which approximately 91% is expected to commence throughout 2026, consistent with the trajectory outlined at our Investor Day in September 2025.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An overview of the leasing activity in each of our regions for the three months ended March 31, 2026 is set forth in the table below. Amounts shown are in square feet, except for percentages, and include 100% of the unconsolidated joint venture properties.</w:t>
      </w:r>
    </w:p>
    <w:tbl>
      <w:tblPr>
        <w:tblW w:w="10205" w:type="dxa"/>
        <w:jc w:val="left"/>
        <w:tblInd w:w="0" w:type="dxa"/>
        <w:tblLayout w:type="fixed"/>
        <w:tblCellMar>
          <w:top w:w="28" w:type="dxa"/>
          <w:left w:w="28" w:type="dxa"/>
          <w:bottom w:w="28" w:type="dxa"/>
          <w:right w:w="28" w:type="dxa"/>
        </w:tblCellMar>
      </w:tblPr>
      <w:tblGrid>
        <w:gridCol w:w="559"/>
        <w:gridCol w:w="490"/>
        <w:gridCol w:w="392"/>
        <w:gridCol w:w="109"/>
        <w:gridCol w:w="109"/>
        <w:gridCol w:w="109"/>
        <w:gridCol w:w="488"/>
        <w:gridCol w:w="488"/>
        <w:gridCol w:w="171"/>
        <w:gridCol w:w="109"/>
        <w:gridCol w:w="109"/>
        <w:gridCol w:w="109"/>
        <w:gridCol w:w="713"/>
        <w:gridCol w:w="596"/>
        <w:gridCol w:w="597"/>
        <w:gridCol w:w="109"/>
        <w:gridCol w:w="109"/>
        <w:gridCol w:w="109"/>
        <w:gridCol w:w="548"/>
        <w:gridCol w:w="412"/>
        <w:gridCol w:w="1034"/>
        <w:gridCol w:w="109"/>
        <w:gridCol w:w="109"/>
        <w:gridCol w:w="109"/>
        <w:gridCol w:w="255"/>
        <w:gridCol w:w="256"/>
        <w:gridCol w:w="567"/>
        <w:gridCol w:w="109"/>
        <w:gridCol w:w="109"/>
        <w:gridCol w:w="109"/>
        <w:gridCol w:w="255"/>
        <w:gridCol w:w="256"/>
        <w:gridCol w:w="493"/>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Leases executed </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Second generation space vacant &lt; 2 Year </w:t>
            </w:r>
            <w:r>
              <w:rPr>
                <w:rFonts w:ascii="Arial;sans-serif" w:hAnsi="Arial;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Change in second generation cash rents, net </w:t>
            </w:r>
            <w:r>
              <w:rPr>
                <w:rFonts w:ascii="Arial;sans-serif" w:hAnsi="Arial;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Leased </w:t>
            </w:r>
            <w:r>
              <w:rPr>
                <w:rFonts w:ascii="Arial;sans-serif" w:hAnsi="Arial;sans-serif"/>
                <w:b w:val="false"/>
                <w:color w:val="000000"/>
                <w:sz w:val="12"/>
              </w:rPr>
              <w:t>(4)</w:t>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219,261 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 Angeles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17,709 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(47.58)</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353,759 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212,085 </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152,812 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15.43 </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Seattle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28,798 </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Washington, 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209,585 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 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1,148,892 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840,250 </w:t>
            </w:r>
          </w:p>
        </w:tc>
        <w:tc>
          <w:tcPr>
            <w:tcW w:w="5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0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5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4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6024" w:type="dxa"/>
        <w:jc w:val="left"/>
        <w:tblInd w:w="0" w:type="dxa"/>
        <w:tblLayout w:type="fixed"/>
        <w:tblCellMar>
          <w:top w:w="28" w:type="dxa"/>
          <w:left w:w="28" w:type="dxa"/>
          <w:bottom w:w="28" w:type="dxa"/>
          <w:right w:w="28" w:type="dxa"/>
        </w:tblCellMar>
      </w:tblPr>
      <w:tblGrid>
        <w:gridCol w:w="1574"/>
        <w:gridCol w:w="1383"/>
        <w:gridCol w:w="1392"/>
        <w:gridCol w:w="109"/>
        <w:gridCol w:w="109"/>
        <w:gridCol w:w="109"/>
        <w:gridCol w:w="488"/>
        <w:gridCol w:w="488"/>
        <w:gridCol w:w="109"/>
        <w:gridCol w:w="109"/>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 xml:space="preserve">generation leases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w:t>
            </w:r>
            <w:r>
              <w:rPr>
                <w:rFonts w:ascii="Arial;sans-serif" w:hAnsi="Arial;sans-serif"/>
                <w:b w:val="false"/>
                <w:color w:val="000000"/>
                <w:sz w:val="12"/>
              </w:rPr>
              <w:t>nd</w:t>
            </w:r>
            <w:r>
              <w:rPr>
                <w:color w:val="000000"/>
              </w:rPr>
              <w:t xml:space="preserve"> </w:t>
            </w:r>
            <w:r>
              <w:rPr>
                <w:rFonts w:ascii="Arial;sans-serif" w:hAnsi="Arial;sans-serif"/>
                <w:b w:val="false"/>
                <w:color w:val="000000"/>
                <w:sz w:val="18"/>
              </w:rPr>
              <w:t xml:space="preserve">generation leases with new clients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Leases executed during the period, in square feet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Second generation leasing information</w:t>
            </w:r>
            <w:r>
              <w:rPr>
                <w:rFonts w:ascii="Arial;sans-serif" w:hAnsi="Arial;sans-serif"/>
                <w:b w:val="false"/>
                <w:color w:val="000000"/>
                <w:sz w:val="18"/>
              </w:rPr>
              <w:t xml:space="preserv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Free 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Days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Transaction Costs Per Square Foot </w:t>
            </w:r>
            <w:r>
              <w:rPr>
                <w:rFonts w:ascii="Arial;sans-serif" w:hAnsi="Arial;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costs per year of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__________________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(1)Represents leases executed during the three months ended March 31, 2026 for which we either (1) commenced lease revenue recognition in such quarter or (2) will commence lease revenue recognition in subsequent quarters, in accordance with GAAP, and includes leases at properties currently under development.</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(2)Second generation leases are defined as leases for in-service spaces that have previously been leased.</w:t>
      </w:r>
    </w:p>
    <w:p>
      <w:pPr>
        <w:pStyle w:val="TextBody"/>
        <w:bidi w:val="0"/>
        <w:spacing w:lineRule="auto" w:line="288" w:before="100" w:after="283"/>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(3)Represents the increase (decrease) in net rent (gross rent less operating expenses) under the new leases versus expired leases on the 840,250 square feet of second generation leases that had been occupied within the 24 months preceding the execution of the new leases; excludes leases that management considers temporary because the client is not expected to occupy the space on a long-term basis. The calculation for the increase (decrease) of gross rent is based on current quarter expenses.</w:t>
      </w:r>
    </w:p>
    <w:p>
      <w:pPr>
        <w:pStyle w:val="TextBody"/>
        <w:bidi w:val="0"/>
        <w:spacing w:lineRule="auto" w:line="288" w:before="100" w:after="283"/>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(4)Represents signed leases for which lease revenue recognition has commenced in accordance with GAAP and signed leases for vacant space with future commencement dates.</w:t>
      </w:r>
    </w:p>
    <w:p>
      <w:pPr>
        <w:pStyle w:val="TextBody"/>
        <w:bidi w:val="0"/>
        <w:spacing w:lineRule="auto" w:line="288" w:before="100" w:after="283"/>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(5)First generation leases are defined as leases for development and redevelopment space that have not previously been leased.</w:t>
      </w:r>
    </w:p>
    <w:p>
      <w:pPr>
        <w:pStyle w:val="TextBody"/>
        <w:bidi w:val="0"/>
        <w:spacing w:lineRule="auto" w:line="288" w:before="100" w:after="283"/>
        <w:ind w:left="0" w:right="0" w:hanging="360"/>
        <w:jc w:val="left"/>
        <w:rPr/>
      </w:pPr>
      <w:r>
        <w:rPr>
          <w:rFonts w:ascii="Arial;sans-serif" w:hAnsi="Arial;sans-serif"/>
          <w:b w:val="false"/>
          <w:color w:val="000000"/>
          <w:sz w:val="18"/>
          <w:shd w:fill="FFFFFF" w:val="clear"/>
        </w:rPr>
        <w:t>(6)Total transaction costs include tenant improvements and leasing commissions but exclude free rent c</w:t>
      </w:r>
      <w:r>
        <w:rPr>
          <w:rFonts w:ascii="Arial;sans-serif" w:hAnsi="Arial;sans-serif"/>
          <w:b w:val="false"/>
          <w:color w:val="000000"/>
          <w:sz w:val="18"/>
        </w:rPr>
        <w:t xml:space="preserve">oncessions and other inducements in accordance with GAAP. </w:t>
      </w:r>
    </w:p>
    <w:p>
      <w:pPr>
        <w:pStyle w:val="TextBody"/>
        <w:bidi w:val="0"/>
        <w:spacing w:lineRule="auto" w:line="288" w:before="420" w:after="283"/>
        <w:ind w:left="0" w:right="0" w:firstLine="450"/>
        <w:jc w:val="left"/>
        <w:rPr>
          <w:rFonts w:ascii="Arial;sans-serif" w:hAnsi="Arial;sans-serif"/>
          <w:b w:val="false"/>
          <w:color w:val="000000"/>
          <w:sz w:val="20"/>
        </w:rPr>
      </w:pPr>
      <w:r>
        <w:rPr>
          <w:rFonts w:ascii="Arial;sans-serif" w:hAnsi="Arial;sans-serif"/>
          <w:b w:val="false"/>
          <w:color w:val="000000"/>
          <w:sz w:val="20"/>
        </w:rPr>
        <w:t>The table below details the vacancy activity in our portfolio, including 100% of the unconsolidated joint ventures, that commenced revenue recognition during the three months ended March 31, 2026:</w:t>
      </w:r>
    </w:p>
    <w:tbl>
      <w:tblPr>
        <w:tblW w:w="9858" w:type="dxa"/>
        <w:jc w:val="left"/>
        <w:tblInd w:w="0" w:type="dxa"/>
        <w:tblLayout w:type="fixed"/>
        <w:tblCellMar>
          <w:top w:w="28" w:type="dxa"/>
          <w:left w:w="28" w:type="dxa"/>
          <w:bottom w:w="28" w:type="dxa"/>
          <w:right w:w="28" w:type="dxa"/>
        </w:tblCellMar>
      </w:tblPr>
      <w:tblGrid>
        <w:gridCol w:w="2190"/>
        <w:gridCol w:w="1928"/>
        <w:gridCol w:w="1941"/>
        <w:gridCol w:w="109"/>
        <w:gridCol w:w="109"/>
        <w:gridCol w:w="109"/>
        <w:gridCol w:w="1068"/>
        <w:gridCol w:w="1068"/>
        <w:gridCol w:w="1073"/>
        <w:gridCol w:w="109"/>
        <w:gridCol w:w="154"/>
      </w:tblGrid>
      <w:tr>
        <w:trPr/>
        <w:tc>
          <w:tcPr>
            <w:tcW w:w="219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c>
          <w:tcPr>
            <w:tcW w:w="263" w:type="dxa"/>
            <w:gridSpan w:val="2"/>
            <w:tcBorders/>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Vacant space available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6,342,127 </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Vacant space from property dispositions/properties taken out of service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(389,363)</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Vacant space from properties placed (and partially placed) in-service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30,284 </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Leases expiring or terminated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2,190,499 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space available for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8,173,547 </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 xml:space="preserve">generation leases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120,757 </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w:t>
            </w:r>
            <w:r>
              <w:rPr>
                <w:rFonts w:ascii="Arial;sans-serif" w:hAnsi="Arial;sans-serif"/>
                <w:b w:val="false"/>
                <w:color w:val="000000"/>
                <w:sz w:val="12"/>
              </w:rPr>
              <w:t>nd</w:t>
            </w:r>
            <w:r>
              <w:rPr>
                <w:color w:val="000000"/>
              </w:rPr>
              <w:t xml:space="preserve"> </w:t>
            </w:r>
            <w:r>
              <w:rPr>
                <w:rFonts w:ascii="Arial;sans-serif" w:hAnsi="Arial;sans-serif"/>
                <w:b w:val="false"/>
                <w:color w:val="000000"/>
                <w:sz w:val="18"/>
              </w:rPr>
              <w:t xml:space="preserve">generation leases with new clients </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794,173 </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w:t>
            </w:r>
            <w:r>
              <w:rPr>
                <w:rFonts w:ascii="Arial;sans-serif" w:hAnsi="Arial;sans-serif"/>
                <w:b w:val="false"/>
                <w:color w:val="000000"/>
                <w:sz w:val="12"/>
              </w:rPr>
              <w:t>nd</w:t>
            </w:r>
            <w:r>
              <w:rPr>
                <w:color w:val="000000"/>
              </w:rPr>
              <w:t xml:space="preserve"> </w:t>
            </w:r>
            <w:r>
              <w:rPr>
                <w:rFonts w:ascii="Arial;sans-serif" w:hAnsi="Arial;sans-serif"/>
                <w:b w:val="false"/>
                <w:color w:val="000000"/>
                <w:sz w:val="18"/>
              </w:rPr>
              <w:t xml:space="preserve">generation lease renewals </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1,501,848 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leases commenced during the period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2,416,778 </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Vacant space available for lease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5,756,769 </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Arial;sans-serif" w:hAnsi="Arial;sans-serif"/>
          <w:b/>
          <w:color w:val="000000"/>
          <w:sz w:val="18"/>
        </w:rPr>
        <w:t>__________________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(1)Total square feet from property dispositions during the three months ended March 31, 2026 consists of 260,762 square feet at Gateway Commons and 79,382 square feet at North First Business Park. Total square feet from properties taken out of service during the three months ended March 31, 2026 consists of 49,219 square feet at Santa Monica Business Park. </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(2)Total square feet from properties placed in service during the three months ended March 31, 2026 consists of 30,284 square feet at Reston Next Retail.</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(3)First generation leases are defined as leases for development and redevelopment spaces that have not previously been leased.</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(4)Second generation leases are defined as leases for in-service spaces that have previously been leased.</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(5)Leases for 302,194 square feet were signed during the three months ended March 31, 2026.</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Investment Activity</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In 2025, BXP commenced vertical construction on 343 Madison Avenue in New York City, New York. 343 Madison Avenue will be a highly amenitized, sustainably designed, 46-story, 930,000 square foot premier workplace located on one of the most desirable office development sites in Manhattan with direct access to Grand Central Station. BXP is currently in active negotiations for additional leases, that, if executed, are expected to increase pre-leasing at the property to approximately 56%. As of May 1, 2026, the project was 29% pre-leased.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BXP anticipates placing 290 Binney Street, a 573,000 square foot, state-of-the-art life sciences building located in Cambridge, Massachusetts within the Kendall Square submarket, into service in the second quarter of 2026. The property is 100% pre-leased to AstraZeneca.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Critical Accounting Estimates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Management’s Discussion and Analysis of Financial Condition and Results of Operations discuss our Consolidated Financial Statements, which have been prepared in accordance with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Our Annual Report on Form 10-K for the year ended December 31, 2025 contains a discussion of our critical accounting estimates. There have been no significant changes in our critical accounting estimates since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Results of Operations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At March 31, 2026 and 2025, we owned or had joint venture interests in a portfolio of 164 and 185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months ended March 31, 2026 and 2025 shows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our analysis of operating results, particularly to make comparisons of Net Operating Income (“NOI”)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NOI is a non-GAAP financial measure equal to net income attributable to BXP, Inc. and net income attributable to Boston Properties Limited Partnership, as applicable, the most directly comparable GAAP financial measures, plus (1) net income attributable to noncontrolling interests, interest expense, loss from early extinguishment of debt, losses from investments in securities, loss on sales-type lease, depreciation and amortization expense, transaction costs, payroll and related costs from management services contracts and corporate general and administrative expense less (2) unrealized gain (loss) on non-real estate investments, interest and other income (loss), gains on sales of real estate, income (loss)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believe that in order to understand our operating results, NOI should be examined in conjunction with net income attributable to BXP, Inc. and net income attributable to Boston Properties Limited Partnership as presented in our Consolidated Financial Statements. NOI should not be considered as a substitute for net income attributable to BXP, Inc. or net income attributable to Boston Properties Limited Partnership (determined in accordance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GAAP) or any other GAAP financial measures and should only be considered together with and as a supplement to our financial information prepared in accordance with GAAP.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Gains on sales of real estate, impairment losses and 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impairment losses and depreciation expense upon the sale of these properties. For additional information see the Explanatory Note that immediately follows the cover page of this Quarterly Report on Form 10-Q. </w:t>
      </w: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Results of Operations for the Three Months Ended March 31, 2026 and 2025</w:t>
      </w:r>
    </w:p>
    <w:p>
      <w:pPr>
        <w:pStyle w:val="TextBody"/>
        <w:bidi w:val="0"/>
        <w:spacing w:lineRule="auto" w:line="288" w:before="100" w:after="283"/>
        <w:ind w:left="0" w:right="0" w:firstLine="480"/>
        <w:jc w:val="left"/>
        <w:rPr/>
      </w:pPr>
      <w:r>
        <w:rPr>
          <w:rFonts w:ascii="Arial;sans-serif" w:hAnsi="Arial;sans-serif"/>
          <w:b w:val="false"/>
          <w:color w:val="000000"/>
          <w:sz w:val="20"/>
        </w:rPr>
        <w:t>Net income attributable to BXP, Inc. and net income attributable to Boston Properties Limited Partnership increased approximately $40.4 million and $44.9 million, respectively, for the three months ended March 31, 2026 compared to 2025, as detailed in the following tables and for the reasons discussed below under the heading “</w:t>
      </w:r>
      <w:r>
        <w:rPr>
          <w:rFonts w:ascii="Arial;sans-serif" w:hAnsi="Arial;sans-serif"/>
          <w:b w:val="false"/>
          <w:i/>
          <w:color w:val="000000"/>
          <w:sz w:val="20"/>
        </w:rPr>
        <w:t>Comparison of the three months ended March 31, 2026 to the three months ended March 31, 2025” within “Item 2—Management’s Discussion and Analysis of Financial Condition and Results of Operations.</w:t>
      </w:r>
      <w:r>
        <w:rPr>
          <w:color w:val="000000"/>
        </w:rPr>
        <w:t>”</w:t>
      </w:r>
    </w:p>
    <w:p>
      <w:pPr>
        <w:pStyle w:val="TextBody"/>
        <w:bidi w:val="0"/>
        <w:spacing w:lineRule="auto" w:line="288" w:before="180" w:after="283"/>
        <w:ind w:left="0" w:right="0" w:firstLine="495"/>
        <w:jc w:val="left"/>
        <w:rPr/>
      </w:pP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 xml:space="preserve">following are reconciliations of (1) Net </w:t>
      </w:r>
      <w:r>
        <w:rPr>
          <w:rFonts w:ascii="Arial;sans-serif" w:hAnsi="Arial;sans-serif"/>
          <w:b w:val="false"/>
          <w:color w:val="000000"/>
          <w:sz w:val="20"/>
        </w:rPr>
        <w:t>Income</w:t>
      </w:r>
      <w:r>
        <w:rPr>
          <w:color w:val="000000"/>
          <w:shd w:fill="FFFFFF" w:val="clear"/>
        </w:rPr>
        <w:t xml:space="preserve"> </w:t>
      </w:r>
      <w:r>
        <w:rPr>
          <w:rFonts w:ascii="Arial;sans-serif" w:hAnsi="Arial;sans-serif"/>
          <w:b w:val="false"/>
          <w:color w:val="000000"/>
          <w:sz w:val="20"/>
          <w:shd w:fill="FFFFFF" w:val="clear"/>
        </w:rPr>
        <w:t xml:space="preserve">Attributable to BXP, Inc. to NOI and (2) Net </w:t>
      </w:r>
      <w:r>
        <w:rPr>
          <w:rFonts w:ascii="Arial;sans-serif" w:hAnsi="Arial;sans-serif"/>
          <w:b w:val="false"/>
          <w:color w:val="000000"/>
          <w:sz w:val="20"/>
        </w:rPr>
        <w:t>Income</w:t>
      </w:r>
      <w:r>
        <w:rPr>
          <w:color w:val="000000"/>
          <w:shd w:fill="FFFFFF" w:val="clear"/>
        </w:rPr>
        <w:t xml:space="preserve"> </w:t>
      </w:r>
      <w:r>
        <w:rPr>
          <w:rFonts w:ascii="Arial;sans-serif" w:hAnsi="Arial;sans-serif"/>
          <w:b w:val="false"/>
          <w:color w:val="000000"/>
          <w:sz w:val="20"/>
          <w:shd w:fill="FFFFFF" w:val="clear"/>
        </w:rPr>
        <w:t>Attributable to Boston Properties Limited Partnership</w:t>
      </w:r>
      <w:r>
        <w:rPr>
          <w:color w:val="000000"/>
        </w:rPr>
        <w:t xml:space="preserve"> </w:t>
      </w:r>
      <w:r>
        <w:rPr>
          <w:rFonts w:ascii="Arial;sans-serif" w:hAnsi="Arial;sans-serif"/>
          <w:b w:val="false"/>
          <w:color w:val="000000"/>
          <w:sz w:val="20"/>
        </w:rPr>
        <w:t>to NOI for the three months ended March 31, 2026 and 2025. For a detailed discussion of NOI, including the reasons management believes NOI is useful to investors, see page 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BXP</w:t>
      </w:r>
    </w:p>
    <w:tbl>
      <w:tblPr>
        <w:tblW w:w="10205" w:type="dxa"/>
        <w:jc w:val="center"/>
        <w:tblInd w:w="0" w:type="dxa"/>
        <w:tblLayout w:type="fixed"/>
        <w:tblCellMar>
          <w:top w:w="28" w:type="dxa"/>
          <w:left w:w="28" w:type="dxa"/>
          <w:bottom w:w="28" w:type="dxa"/>
          <w:right w:w="28" w:type="dxa"/>
        </w:tblCellMar>
      </w:tblPr>
      <w:tblGrid>
        <w:gridCol w:w="1631"/>
        <w:gridCol w:w="1280"/>
        <w:gridCol w:w="1288"/>
        <w:gridCol w:w="109"/>
        <w:gridCol w:w="109"/>
        <w:gridCol w:w="109"/>
        <w:gridCol w:w="211"/>
        <w:gridCol w:w="826"/>
        <w:gridCol w:w="109"/>
        <w:gridCol w:w="109"/>
        <w:gridCol w:w="109"/>
        <w:gridCol w:w="109"/>
        <w:gridCol w:w="211"/>
        <w:gridCol w:w="826"/>
        <w:gridCol w:w="109"/>
        <w:gridCol w:w="109"/>
        <w:gridCol w:w="109"/>
        <w:gridCol w:w="109"/>
        <w:gridCol w:w="213"/>
        <w:gridCol w:w="729"/>
        <w:gridCol w:w="109"/>
        <w:gridCol w:w="109"/>
        <w:gridCol w:w="109"/>
        <w:gridCol w:w="109"/>
        <w:gridCol w:w="435"/>
        <w:gridCol w:w="436"/>
        <w:gridCol w:w="484"/>
      </w:tblGrid>
      <w:tr>
        <w:trPr/>
        <w:tc>
          <w:tcPr>
            <w:tcW w:w="163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66.04 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65.65 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53.05 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55.07 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1,755.59 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(83.20)</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BPLP</w:t>
      </w:r>
    </w:p>
    <w:tbl>
      <w:tblPr>
        <w:tblW w:w="10205" w:type="dxa"/>
        <w:jc w:val="left"/>
        <w:tblInd w:w="0" w:type="dxa"/>
        <w:tblLayout w:type="fixed"/>
        <w:tblCellMar>
          <w:top w:w="28" w:type="dxa"/>
          <w:left w:w="28" w:type="dxa"/>
          <w:bottom w:w="28" w:type="dxa"/>
          <w:right w:w="28" w:type="dxa"/>
        </w:tblCellMar>
      </w:tblPr>
      <w:tblGrid>
        <w:gridCol w:w="1625"/>
        <w:gridCol w:w="1283"/>
        <w:gridCol w:w="1291"/>
        <w:gridCol w:w="109"/>
        <w:gridCol w:w="109"/>
        <w:gridCol w:w="109"/>
        <w:gridCol w:w="211"/>
        <w:gridCol w:w="826"/>
        <w:gridCol w:w="109"/>
        <w:gridCol w:w="109"/>
        <w:gridCol w:w="109"/>
        <w:gridCol w:w="109"/>
        <w:gridCol w:w="211"/>
        <w:gridCol w:w="826"/>
        <w:gridCol w:w="109"/>
        <w:gridCol w:w="109"/>
        <w:gridCol w:w="109"/>
        <w:gridCol w:w="109"/>
        <w:gridCol w:w="213"/>
        <w:gridCol w:w="729"/>
        <w:gridCol w:w="109"/>
        <w:gridCol w:w="109"/>
        <w:gridCol w:w="109"/>
        <w:gridCol w:w="109"/>
        <w:gridCol w:w="435"/>
        <w:gridCol w:w="436"/>
        <w:gridCol w:w="484"/>
      </w:tblGrid>
      <w:tr>
        <w:trPr/>
        <w:tc>
          <w:tcPr>
            <w:tcW w:w="162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51.98 </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55.07 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1,755.59 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(83.20)</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80" w:after="100"/>
        <w:jc w:val="left"/>
        <w:rPr>
          <w:rFonts w:ascii="Arial;sans-serif" w:hAnsi="Arial;sans-serif"/>
          <w:b w:val="false"/>
          <w:color w:val="000000"/>
          <w:sz w:val="28"/>
        </w:rPr>
      </w:pPr>
      <w:r>
        <w:rPr>
          <w:rFonts w:ascii="Arial;sans-serif" w:hAnsi="Arial;sans-serif"/>
          <w:b w:val="false"/>
          <w:color w:val="000000"/>
          <w:sz w:val="28"/>
        </w:rPr>
        <w:t xml:space="preserve">Comparison of the three months ended March 31, 2026 to the three months ended March 31, 2025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shows selected operating information for the Same Property Portfolio and the Total Property Portfolio. The Same Property Portfolio consists of 139 properties totaling approximately 40.8 million net rentable square feet, excluding unconsolidated joint ventures. The Same Property Portfolio includes properties acquired or placed in-service on or prior to January 1, 2025 and owned and in-service through March 31, 2026. The Total Property Portfolio includes the effects of the other properties either acquired, placed in-service, in or held for development or redevelopment after January 1, 2025 or disposed of on or prior to March 31, 2026. This table includes a reconciliation from the Same Property Portfolio to the Total Property Portfolio by also providing information for the three months ended March 31, 2026 and 2025 with respect to the properties that were acquired, placed in-service, in or held for development or redevelopment, or sold. We did not acquire any properties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7380" w:type="dxa"/>
        <w:jc w:val="left"/>
        <w:tblInd w:w="0" w:type="dxa"/>
        <w:tblLayout w:type="fixed"/>
        <w:tblCellMar>
          <w:top w:w="28" w:type="dxa"/>
          <w:left w:w="28" w:type="dxa"/>
          <w:bottom w:w="28" w:type="dxa"/>
          <w:right w:w="28" w:type="dxa"/>
        </w:tblCellMar>
      </w:tblPr>
      <w:tblGrid>
        <w:gridCol w:w="360"/>
        <w:gridCol w:w="225"/>
        <w:gridCol w:w="226"/>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344"/>
        <w:gridCol w:w="347"/>
        <w:gridCol w:w="291"/>
        <w:gridCol w:w="109"/>
        <w:gridCol w:w="109"/>
        <w:gridCol w:w="109"/>
        <w:gridCol w:w="109"/>
        <w:gridCol w:w="109"/>
        <w:gridCol w:w="109"/>
        <w:gridCol w:w="109"/>
        <w:gridCol w:w="181"/>
        <w:gridCol w:w="496"/>
        <w:gridCol w:w="109"/>
        <w:gridCol w:w="109"/>
        <w:gridCol w:w="109"/>
        <w:gridCol w:w="109"/>
        <w:gridCol w:w="181"/>
        <w:gridCol w:w="376"/>
        <w:gridCol w:w="109"/>
        <w:gridCol w:w="109"/>
        <w:gridCol w:w="109"/>
        <w:gridCol w:w="109"/>
        <w:gridCol w:w="181"/>
        <w:gridCol w:w="496"/>
        <w:gridCol w:w="109"/>
        <w:gridCol w:w="109"/>
        <w:gridCol w:w="109"/>
        <w:gridCol w:w="109"/>
        <w:gridCol w:w="181"/>
        <w:gridCol w:w="496"/>
        <w:gridCol w:w="109"/>
        <w:gridCol w:w="109"/>
        <w:gridCol w:w="109"/>
        <w:gridCol w:w="109"/>
        <w:gridCol w:w="181"/>
        <w:gridCol w:w="376"/>
        <w:gridCol w:w="109"/>
        <w:gridCol w:w="109"/>
        <w:gridCol w:w="109"/>
        <w:gridCol w:w="109"/>
        <w:gridCol w:w="181"/>
        <w:gridCol w:w="496"/>
        <w:gridCol w:w="109"/>
        <w:gridCol w:w="327"/>
        <w:gridCol w:w="181"/>
        <w:gridCol w:w="646"/>
        <w:gridCol w:w="109"/>
        <w:gridCol w:w="327"/>
        <w:gridCol w:w="181"/>
        <w:gridCol w:w="646"/>
        <w:gridCol w:w="109"/>
        <w:gridCol w:w="327"/>
        <w:gridCol w:w="181"/>
        <w:gridCol w:w="496"/>
        <w:gridCol w:w="109"/>
        <w:gridCol w:w="327"/>
        <w:gridCol w:w="691"/>
        <w:gridCol w:w="342"/>
      </w:tblGrid>
      <w:tr>
        <w:trPr/>
        <w:tc>
          <w:tcPr>
            <w:tcW w:w="3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Same Property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w:t>
              <w:br/>
              <w:t>Placed In-Service</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in or Held for</w:t>
              <w:br/>
              <w:t>Development or</w:t>
              <w:br/>
              <w:t>Redevelopment</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Sold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Property Portfolio</w:t>
            </w:r>
          </w:p>
        </w:tc>
        <w:tc>
          <w:tcPr>
            <w:tcW w:w="1360"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6" w:type="dxa"/>
            <w:gridSpan w:val="7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(dollars in thousands)</w:t>
            </w:r>
          </w:p>
        </w:tc>
        <w:tc>
          <w:tcPr>
            <w:tcW w:w="2473"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Rental Revenue: </w:t>
            </w:r>
            <w:r>
              <w:rPr>
                <w:rFonts w:ascii="Arial;sans-serif" w:hAnsi="Arial;sans-serif"/>
                <w:b w:val="false"/>
                <w:color w:val="000000"/>
                <w:sz w:val="9"/>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 (Excluding Termination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0.28 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Termination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5,114.63 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5,114.63 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809,351 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784,345 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813,882 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799,046 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Parking and Other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Total Rental Revenue </w:t>
            </w:r>
            <w:r>
              <w:rPr>
                <w:rFonts w:ascii="Arial;sans-serif" w:hAnsi="Arial;sans-serif"/>
                <w:b w:val="false"/>
                <w:color w:val="000000"/>
                <w:sz w:val="9"/>
              </w:rPr>
              <w:t>(1)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839,849 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813,630 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5.96 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Operating Income (Loss), Excluding Residential and Hotel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504,833 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503,315 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4"/>
              </w:rPr>
              <w:t xml:space="preserve">Residential Net Operating Income </w:t>
            </w:r>
            <w:r>
              <w:rPr>
                <w:rFonts w:ascii="Arial;sans-serif" w:hAnsi="Arial;sans-serif"/>
                <w:b w:val="false"/>
                <w:color w:val="000000"/>
                <w:sz w:val="9"/>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41.01 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(65.25)</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4"/>
              </w:rPr>
              <w:t xml:space="preserve">Hotel Net Operating Income </w:t>
            </w:r>
            <w:r>
              <w:rPr>
                <w:rFonts w:ascii="Arial;sans-serif" w:hAnsi="Arial;sans-serif"/>
                <w:b w:val="false"/>
                <w:color w:val="000000"/>
                <w:sz w:val="9"/>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(44.93)</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(44.93)</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Operating Income (Loss)</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507,874 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500,854 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506,007 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511,798 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(5,791)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w:t>
            </w:r>
          </w:p>
        </w:tc>
        <w:tc>
          <w:tcPr>
            <w:tcW w:w="3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 investors with information regarding our performance that is not immediately apparent from the most directly comparable GAAP measures and allows investors to compare operating performance between periods.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(2)For a detailed discussion of NOI, including the reasons management believes NOI is useful to investors, see page 41. Residential Net Operating Income for the three months ended March 31, 2026 and 2025 is comprised of Residential Revenue of $4,452 and $12,348 less Residential Expenses of $2,210 and $5,897, respectively. Hotel Net Operating Income for the three months ended March 31, 2026 and 2025 is comprised of Hotel Revenue of $9,101 and $9,597 less Hotel Expenses of $7,982 and $7,565, respectively, per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Same Property Portfolio</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Lease Revenue (Excluding Termination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Lease revenue (excluding termination income) from the Same Property Portfolio increased by approximately $12.4 million for the three months ended March 31, 2026 compared to 2025. The increase resulted from our average revenue per square foot increasing by approximately $0.86, contributing approximately $7.7 million, and our average occupancy increasing from 88.3% to 88.9%, contributing approximately $4.7 million.</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Termination Income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increased by approximately $12.6 million for the three months ended March 31, 2026 compared to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for the three months ended March 31, 2026 and 2025 related to seven and two clients, respectively, across the Same Property Portfolio and totaled approximately $12.8 million and $0.2 million, respectively.</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Parking and Other Revenue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Parking and other revenue increased by approximately $1.2 million for the three months ended March 31, 2026 compared to 2025. Parking revenue increased by approximately $1.3 million, partially offset by a decrease in other revenue of approximately $0.1 million. The increase in parking revenue was primarily due to an increase in transient parking.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Real Estate Operating Expenses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Real estate operating expenses from the Same Property Portfolio increased by approximately $18.8 million, or 6.0%, for the three months ended March 31, 2026 compared to 2025, primarily due to increases in (1) utilities and roads/grounds/security expenses of approximately $9.7 million, or 14.7%, and (2) real estate operating expenses of approximately $9.1 million, or 3.7%. The increase in utilities and roads/grounds/security expenses was primarily attributable to colder temperatures and increased snow removal during the three months ended March 31, 2026 compared to 2025.</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Properties Placed In-Service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placed in-service or partially placed in-service between January 1, 2025 and March 31, 2026. </w:t>
      </w:r>
    </w:p>
    <w:tbl>
      <w:tblPr>
        <w:tblW w:w="1160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85"/>
        <w:gridCol w:w="285"/>
        <w:gridCol w:w="286"/>
        <w:gridCol w:w="109"/>
        <w:gridCol w:w="109"/>
        <w:gridCol w:w="109"/>
        <w:gridCol w:w="470"/>
        <w:gridCol w:w="470"/>
        <w:gridCol w:w="471"/>
        <w:gridCol w:w="109"/>
        <w:gridCol w:w="109"/>
        <w:gridCol w:w="109"/>
        <w:gridCol w:w="374"/>
        <w:gridCol w:w="362"/>
        <w:gridCol w:w="211"/>
        <w:gridCol w:w="109"/>
        <w:gridCol w:w="109"/>
        <w:gridCol w:w="109"/>
        <w:gridCol w:w="196"/>
        <w:gridCol w:w="556"/>
        <w:gridCol w:w="109"/>
        <w:gridCol w:w="109"/>
        <w:gridCol w:w="109"/>
        <w:gridCol w:w="109"/>
        <w:gridCol w:w="196"/>
        <w:gridCol w:w="331"/>
        <w:gridCol w:w="109"/>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Initially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Fully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 Office Phase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1050 Winter Street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279,187 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Properties In or Held for Development or Redevelopment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in or held for development or redevelopment between January 1, 2025 and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1319" w:type="dxa"/>
        <w:jc w:val="left"/>
        <w:tblInd w:w="0" w:type="dxa"/>
        <w:tblLayout w:type="fixed"/>
        <w:tblCellMar>
          <w:top w:w="28" w:type="dxa"/>
          <w:left w:w="28" w:type="dxa"/>
          <w:bottom w:w="28" w:type="dxa"/>
          <w:right w:w="28" w:type="dxa"/>
        </w:tblCellMar>
      </w:tblPr>
      <w:tblGrid>
        <w:gridCol w:w="434"/>
        <w:gridCol w:w="262"/>
        <w:gridCol w:w="265"/>
        <w:gridCol w:w="109"/>
        <w:gridCol w:w="109"/>
        <w:gridCol w:w="109"/>
        <w:gridCol w:w="445"/>
        <w:gridCol w:w="445"/>
        <w:gridCol w:w="446"/>
        <w:gridCol w:w="109"/>
        <w:gridCol w:w="109"/>
        <w:gridCol w:w="109"/>
        <w:gridCol w:w="435"/>
        <w:gridCol w:w="436"/>
        <w:gridCol w:w="211"/>
        <w:gridCol w:w="109"/>
        <w:gridCol w:w="109"/>
        <w:gridCol w:w="109"/>
        <w:gridCol w:w="196"/>
        <w:gridCol w:w="556"/>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09"/>
        <w:gridCol w:w="109"/>
        <w:gridCol w:w="196"/>
        <w:gridCol w:w="556"/>
        <w:gridCol w:w="109"/>
        <w:gridCol w:w="109"/>
        <w:gridCol w:w="109"/>
        <w:gridCol w:w="109"/>
        <w:gridCol w:w="196"/>
        <w:gridCol w:w="436"/>
        <w:gridCol w:w="109"/>
        <w:gridCol w:w="109"/>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Commenced Held for Development / Redevelopment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Name</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6"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Lexington Office Park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1000 &amp; 1100 Winter Street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Kingstowne One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Reservoir Place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Santa Monica Business Park </w:t>
            </w:r>
            <w:r>
              <w:rPr>
                <w:rFonts w:ascii="Arial;sans-serif" w:hAnsi="Arial;sans-serif"/>
                <w:b w:val="false"/>
                <w:color w:val="000000"/>
                <w:sz w:val="10"/>
              </w:rPr>
              <w:t>(3)</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1,509,000 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 xml:space="preserve">These properties are no longer considered “in-service” because each property’s occupied percentage is less than 50% and we anticipate a future development/redevelopment of the property. A property will be considered held for development or redevelopment until the last client has vacated the property and the property is no longer revenue producing.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(2)Reservoir Place is an approximately 526,000 square foot office building, of which approximately 165,000 square feet remains in-service.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(3)This portion of Santa Monica Business Park is comprised of two buildings, 2850 Ocean Park and 2800 28th Street.</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Properties Sold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we sold between January 1, 2025 and March 31, 2026. </w:t>
      </w:r>
    </w:p>
    <w:tbl>
      <w:tblPr>
        <w:tblW w:w="10936" w:type="dxa"/>
        <w:jc w:val="center"/>
        <w:tblInd w:w="0" w:type="dxa"/>
        <w:tblLayout w:type="fixed"/>
        <w:tblCellMar>
          <w:top w:w="28" w:type="dxa"/>
          <w:left w:w="28" w:type="dxa"/>
          <w:bottom w:w="28" w:type="dxa"/>
          <w:right w:w="28" w:type="dxa"/>
        </w:tblCellMar>
      </w:tblPr>
      <w:tblGrid>
        <w:gridCol w:w="765"/>
        <w:gridCol w:w="224"/>
        <w:gridCol w:w="227"/>
        <w:gridCol w:w="109"/>
        <w:gridCol w:w="109"/>
        <w:gridCol w:w="109"/>
        <w:gridCol w:w="459"/>
        <w:gridCol w:w="266"/>
        <w:gridCol w:w="146"/>
        <w:gridCol w:w="109"/>
        <w:gridCol w:w="109"/>
        <w:gridCol w:w="109"/>
        <w:gridCol w:w="442"/>
        <w:gridCol w:w="429"/>
        <w:gridCol w:w="211"/>
        <w:gridCol w:w="109"/>
        <w:gridCol w:w="109"/>
        <w:gridCol w:w="109"/>
        <w:gridCol w:w="196"/>
        <w:gridCol w:w="421"/>
        <w:gridCol w:w="109"/>
        <w:gridCol w:w="109"/>
        <w:gridCol w:w="109"/>
        <w:gridCol w:w="109"/>
        <w:gridCol w:w="196"/>
        <w:gridCol w:w="646"/>
        <w:gridCol w:w="109"/>
        <w:gridCol w:w="109"/>
        <w:gridCol w:w="109"/>
        <w:gridCol w:w="109"/>
        <w:gridCol w:w="196"/>
        <w:gridCol w:w="661"/>
        <w:gridCol w:w="109"/>
        <w:gridCol w:w="109"/>
        <w:gridCol w:w="109"/>
        <w:gridCol w:w="109"/>
        <w:gridCol w:w="196"/>
        <w:gridCol w:w="421"/>
        <w:gridCol w:w="109"/>
        <w:gridCol w:w="109"/>
        <w:gridCol w:w="109"/>
        <w:gridCol w:w="109"/>
        <w:gridCol w:w="196"/>
        <w:gridCol w:w="556"/>
        <w:gridCol w:w="109"/>
        <w:gridCol w:w="109"/>
        <w:gridCol w:w="109"/>
        <w:gridCol w:w="109"/>
        <w:gridCol w:w="196"/>
        <w:gridCol w:w="57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17 Hartwell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Almaden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October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Parcels at Broad Run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3625 Peterson 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First Business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Shady Grove Parcel 1</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Proto Kendall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Signature at Reston Town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Lofts at Atlantic Wharf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771,500 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Non-Strategic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140 Kendrick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409,200 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Non-Strategic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409,200 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1,401,700 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Residential Net Operating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Net operating income for our residential same property increased by approximately $0.6 million for the three months ended March 31, 2026 compared to 2025.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reflects our occupancy and rate information for our residential same property for the three months ended March 31,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1070"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196"/>
        <w:gridCol w:w="556"/>
        <w:gridCol w:w="109"/>
        <w:gridCol w:w="196"/>
        <w:gridCol w:w="556"/>
        <w:gridCol w:w="109"/>
        <w:gridCol w:w="214"/>
        <w:gridCol w:w="177"/>
        <w:gridCol w:w="357"/>
        <w:gridCol w:w="109"/>
        <w:gridCol w:w="109"/>
        <w:gridCol w:w="109"/>
        <w:gridCol w:w="196"/>
        <w:gridCol w:w="466"/>
        <w:gridCol w:w="109"/>
        <w:gridCol w:w="196"/>
        <w:gridCol w:w="466"/>
        <w:gridCol w:w="109"/>
        <w:gridCol w:w="198"/>
        <w:gridCol w:w="193"/>
        <w:gridCol w:w="275"/>
        <w:gridCol w:w="109"/>
        <w:gridCol w:w="109"/>
        <w:gridCol w:w="109"/>
        <w:gridCol w:w="233"/>
        <w:gridCol w:w="233"/>
        <w:gridCol w:w="256"/>
        <w:gridCol w:w="233"/>
        <w:gridCol w:w="233"/>
        <w:gridCol w:w="256"/>
        <w:gridCol w:w="189"/>
        <w:gridCol w:w="187"/>
        <w:gridCol w:w="287"/>
        <w:gridCol w:w="109"/>
        <w:gridCol w:w="109"/>
        <w:gridCol w:w="109"/>
        <w:gridCol w:w="233"/>
        <w:gridCol w:w="233"/>
        <w:gridCol w:w="256"/>
        <w:gridCol w:w="233"/>
        <w:gridCol w:w="233"/>
        <w:gridCol w:w="256"/>
        <w:gridCol w:w="204"/>
        <w:gridCol w:w="172"/>
        <w:gridCol w:w="301"/>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 xml:space="preserve">Average Monthly Rental Rate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Rental Rate Per Occupied Square Foot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 xml:space="preserve">Average Physical Occupancy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 xml:space="preserve">Average Economic Occupancy </w:t>
            </w:r>
            <w:r>
              <w:rPr>
                <w:rFonts w:ascii="Arial;sans-serif" w:hAnsi="Arial;sans-serif"/>
                <w:b/>
                <w:color w:val="000000"/>
                <w:sz w:val="10"/>
              </w:rPr>
              <w:t>(3)</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Change (%)</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(1)Average Monthly Rental Rate is calculated as the average of the quotients obtained by dividing (A) rental revenue as determined in accordance with GAAP, by (B) the number of occupied units, for each month within the applicable fiscal period.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(2)Average Physical Occupancy is defined as (1) the average number of occupied units divided by (2) the total number of units, expressed as a percentage.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Average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 </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 xml:space="preserve">Hotel Net Operating Income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Boston Marriott Cambridge hotel had Net Operating Income of approximately $1.1 million for the three months ended March 31, 2026, representing a decrease of approximately $0.9 million compared to the three months ended March 31,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reflects our occupancy and rate information for the Boston Marriott Cambridge hotel for the three months ended March 31, 2026 and 2025.</w:t>
      </w:r>
    </w:p>
    <w:tbl>
      <w:tblPr>
        <w:tblW w:w="6318"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211"/>
        <w:gridCol w:w="751"/>
        <w:gridCol w:w="286"/>
        <w:gridCol w:w="109"/>
        <w:gridCol w:w="109"/>
        <w:gridCol w:w="109"/>
        <w:gridCol w:w="211"/>
        <w:gridCol w:w="751"/>
        <w:gridCol w:w="286"/>
        <w:gridCol w:w="109"/>
        <w:gridCol w:w="109"/>
        <w:gridCol w:w="109"/>
        <w:gridCol w:w="248"/>
        <w:gridCol w:w="248"/>
        <w:gridCol w:w="651"/>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6"/>
              </w:rPr>
              <w:br/>
            </w:r>
            <w:r>
              <w:rPr>
                <w:rFonts w:ascii="Arial;sans-serif" w:hAnsi="Arial;sans-serif"/>
                <w:b/>
                <w:color w:val="000000"/>
                <w:sz w:val="16"/>
              </w:rPr>
              <w:t>Change (%)</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daily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Other Operating Revenue and Expense Items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Development and Management Services Revenue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Development and management services revenue decreased by approximately $0.6 million for the three months ended March 31, 2026 compared to 2025. Management services revenue decreased by approximately $1.1 million, partially offset by development services revenue increasing by approximately $0.5 million. The decrease in management services revenue primarily related to a leasing commission earned from an unconsolidated joint venture in New York City in 2025 that did not recur in 2026. The increase in development services revenue was primarily related to an increase in fees associated with tenant improvement projects.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General and Administrative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General and administrative expense increased by approximately $7.1 million for the three months ended March 31, 2026 compared to 2025 primarily due to increases in compensation expense of approximately $6.1 million and approximately $1.0 million increase in other general and administrative expenses. The increase in compensation expense includes an approximately $2.9 million non-cash increase related to the December 2025 issuance of the 2025 Outperformance Plan Awards (“2025 OPP Units”) offset by an approximately $0.2 million decrease in the value of our deferred compensation plan. The increase in other general and administrative expenses is primarily due to an increase in state and local taxes.</w:t>
      </w:r>
    </w:p>
    <w:p>
      <w:pPr>
        <w:pStyle w:val="TextBody"/>
        <w:bidi w:val="0"/>
        <w:spacing w:lineRule="auto" w:line="288" w:before="180" w:after="283"/>
        <w:ind w:left="0" w:right="0" w:firstLine="495"/>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Wages directly related to the development of rental properties are capitalized and included in real estate assets on our Consolidated Balance Sheets and amortized over the useful lives of the applicable asset or lease term. Capitalized wages for the three months ended March 31, 2026 and 2025 were approximately $4.1 million and $4.4 million, respectively. These costs are not included in the general and administrative expenses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Transaction Costs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Transaction costs decreased by approximately $0.6 million for the three months ended March 31, 2026 compared to 2025. In general, transaction costs relating to the formation of new joint ventures and the pursuit of other transactions are expensed as incurred.</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Depreciation and Amortization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$7.9 million for the three months ended March 31, 2026 compared to 2025, for BXP and BPLP, as detailed below (in thousands).</w:t>
      </w:r>
    </w:p>
    <w:tbl>
      <w:tblPr>
        <w:tblW w:w="10324" w:type="dxa"/>
        <w:jc w:val="left"/>
        <w:tblInd w:w="0" w:type="dxa"/>
        <w:tblLayout w:type="fixed"/>
        <w:tblCellMar>
          <w:top w:w="28" w:type="dxa"/>
          <w:left w:w="28" w:type="dxa"/>
          <w:bottom w:w="28" w:type="dxa"/>
          <w:right w:w="28" w:type="dxa"/>
        </w:tblCellMar>
      </w:tblPr>
      <w:tblGrid>
        <w:gridCol w:w="924"/>
        <w:gridCol w:w="272"/>
        <w:gridCol w:w="275"/>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BPLP</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847" w:type="dxa"/>
            <w:gridSpan w:val="24"/>
            <w:tcBorders/>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 Property Portfolio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Properties Placed In-Service Portfolio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in or Held for Development or Redevelopment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00"/>
        <w:jc w:val="left"/>
        <w:rPr>
          <w:rFonts w:ascii="Arial;sans-serif" w:hAnsi="Arial;sans-serif"/>
          <w:b/>
          <w:color w:val="0869AD"/>
          <w:sz w:val="20"/>
        </w:rPr>
      </w:pPr>
      <w:r>
        <w:rPr>
          <w:rFonts w:ascii="Arial;sans-serif" w:hAnsi="Arial;sans-serif"/>
          <w:b/>
          <w:color w:val="0869AD"/>
          <w:sz w:val="20"/>
        </w:rPr>
        <w:t>Direct Reimbursements of Payroll and Related Costs From Management Services Contracts and Payroll and Related Costs From Management Service Contracts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Other Income and Expense Items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Income (Loss) from Unconsolidated Joint Ventures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the three months ended March 31, 2026 compared to 2025, income (loss) from unconsolidated joint ventures increased by approximately $37.6 million primarily due to the approximately $41.2 million gain on sales of investments realized in connection with the sales of 7750 Wisconsin Avenue and Gateway Commons during the three months ended March 31, 2026 (See Note 5 to the Consolidated Financial Statements).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Gains on Sales of Real Estate</w:t>
      </w:r>
    </w:p>
    <w:p>
      <w:pPr>
        <w:pStyle w:val="TextBody"/>
        <w:bidi w:val="0"/>
        <w:spacing w:lineRule="auto" w:line="288"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 xml:space="preserve">The following table represents the assets that were sold during the three months ended March 31, 2026 and the gains (losses) on sales of real estate recognized by each of BXP and BPLP (dollars in thousands). During the three months ended March 31, 2025, there were no assets sold. For additional information on these sales, refer to Note 3 to the Consolidated Financial Statements. </w:t>
      </w:r>
    </w:p>
    <w:tbl>
      <w:tblPr>
        <w:tblW w:w="10125" w:type="dxa"/>
        <w:jc w:val="left"/>
        <w:tblInd w:w="0" w:type="dxa"/>
        <w:tblLayout w:type="fixed"/>
        <w:tblCellMar>
          <w:top w:w="28" w:type="dxa"/>
          <w:left w:w="28" w:type="dxa"/>
          <w:bottom w:w="28" w:type="dxa"/>
          <w:right w:w="28" w:type="dxa"/>
        </w:tblCellMar>
      </w:tblPr>
      <w:tblGrid>
        <w:gridCol w:w="798"/>
        <w:gridCol w:w="701"/>
        <w:gridCol w:w="706"/>
        <w:gridCol w:w="109"/>
        <w:gridCol w:w="109"/>
        <w:gridCol w:w="109"/>
        <w:gridCol w:w="369"/>
        <w:gridCol w:w="369"/>
        <w:gridCol w:w="371"/>
        <w:gridCol w:w="109"/>
        <w:gridCol w:w="109"/>
        <w:gridCol w:w="109"/>
        <w:gridCol w:w="459"/>
        <w:gridCol w:w="459"/>
        <w:gridCol w:w="461"/>
        <w:gridCol w:w="109"/>
        <w:gridCol w:w="109"/>
        <w:gridCol w:w="109"/>
        <w:gridCol w:w="368"/>
        <w:gridCol w:w="368"/>
        <w:gridCol w:w="351"/>
        <w:gridCol w:w="109"/>
        <w:gridCol w:w="109"/>
        <w:gridCol w:w="109"/>
        <w:gridCol w:w="109"/>
        <w:gridCol w:w="109"/>
        <w:gridCol w:w="436"/>
        <w:gridCol w:w="109"/>
        <w:gridCol w:w="196"/>
        <w:gridCol w:w="646"/>
        <w:gridCol w:w="109"/>
        <w:gridCol w:w="109"/>
        <w:gridCol w:w="109"/>
        <w:gridCol w:w="109"/>
        <w:gridCol w:w="196"/>
        <w:gridCol w:w="64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Gain (Loss) on Sale </w:t>
            </w:r>
            <w:r>
              <w:rPr>
                <w:rFonts w:ascii="Arial;sans-serif" w:hAnsi="Arial;sans-serif"/>
                <w:b/>
                <w:color w:val="000000"/>
                <w:sz w:val="10"/>
              </w:rPr>
              <w:t>(1)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BXP</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BPLP</w:t>
            </w:r>
          </w:p>
        </w:tc>
        <w:tc>
          <w:tcPr>
            <w:tcW w:w="1323"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North First Business Park</w:t>
            </w:r>
            <w:r>
              <w:rPr>
                <w:color w:val="000000"/>
              </w:rPr>
              <w:t xml:space="preserv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Jose,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Shady Grove Parcel 1 </w:t>
            </w:r>
            <w:r>
              <w:rPr>
                <w:rFonts w:ascii="Arial;sans-serif" w:hAnsi="Arial;sans-serif"/>
                <w:b w:val="false"/>
                <w:color w:val="000000"/>
                <w:sz w:val="10"/>
              </w:rPr>
              <w:t xml:space="preserve">(2)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Rockville,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The Lofts at Atlantic Wharf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25, 2026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278,000 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(1)Excludes approximately $0.3 million of loss in connection with the sale of our entire 50% ownership interest in the joint venture entity that owned Gateway Commons as a result of our outstanding receivable balance for development and construction management fees that were forfeited (see Note 5 to the Consolidated Financial Statements), and $0.1 million of loss related to sales that occurred in prior periods.</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(2)We had previously recognized impairment losses for these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fair value of the real estate disposed exceeded the carrying value.</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Interest and Other Income (Loss)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and other income (loss) increased by approximately $1.1 million for the three months ended March 31, 2026 compared to 2025, due primarily to a reserve related to the unpaid default interest on one of our related party notes receivable during the three months ended March 31, 2025 of approximately $3.0 million, partially offset by a decrease in our outstanding cash balances and corresponding lower interest income.</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Losses from Investments in Securities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Losses from investments in securities for the three months ended March 31, 2026 and 2025 related to investments that we have made to reduce our market risk relating to deferred compensation plans that we maintain for BXP’s officers and former non-employee directors. Under their respective deferred compensation plans, eligible officers and non-employee directors are permitted to defer a portion of their current compensation on a pre-tax basis and receive a tax-deferred return on the amounts deferred based on the performance of specific investments selected by participating officers and non-employee directors.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participants under our deferred compensation plans with equivalent assets and thereby limit our market risk. The performance of these investments is recorded as gains from investments in securities. During the three months ended March 31, 2026 and 2025, we recognized losses of approximately $0.6 million and $0.4 million, respectively, on these investments. By comparison, our general and administrative expense decreased by approximately $0.6 million and $0.4 million during the three months ended March 31, 2026 and 2025, respectively, as a result of decreases in our liability under our deferred compensation plans that was associated with the performance of the specific investments selected by participating officers and former non-employee directors of BXP.</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Unrealized Gain (Loss) on Non-Real Estate Investments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invest in non-real estate investments, which primarily consist of environmentally-focused investment funds. During the three months ended March 31, 2026 and 2025, we recognized an unrealized gain (loss) of approximately $0.2 million and $(0.5) million, respectively, due to the observable changes in the fair value of the investments.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Loss on Sales-Type Lease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three months ended March 31, 2025, we recognized approximately $2.5 million in additional costs, which had previously been contingent, related to a ground lease for land at our Reston Next property located in Reston, Virginia. We entered into the ground lease in 2020 with a third-party hotel developer and amended it in 2022. The amendment resulted in the derecognition of the assets related to the ground lease and the classification of the ground lease as a sales-type lease resulting in the recognition of a gain on sales-type lease of approximately $10.1 million.</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Loss From Early Extinguishment of Debt</w:t>
      </w:r>
    </w:p>
    <w:p>
      <w:pPr>
        <w:pStyle w:val="TextBody"/>
        <w:bidi w:val="0"/>
        <w:spacing w:lineRule="auto" w:line="288" w:before="100" w:after="283"/>
        <w:ind w:left="0" w:right="0" w:firstLine="495"/>
        <w:jc w:val="left"/>
        <w:rPr/>
      </w:pPr>
      <w:r>
        <w:rPr>
          <w:rFonts w:ascii="Arial;sans-serif" w:hAnsi="Arial;sans-serif"/>
          <w:b w:val="false"/>
          <w:color w:val="000000"/>
          <w:sz w:val="20"/>
        </w:rPr>
        <w:t xml:space="preserve">On March 28, 2025, BPLP amended and restated its revolving credit agreement (“2025 Credit Facility”). </w:t>
      </w:r>
      <w:r>
        <w:rPr>
          <w:rFonts w:ascii="Arial;sans-serif" w:hAnsi="Arial;sans-serif"/>
          <w:b w:val="false"/>
          <w:color w:val="000000"/>
          <w:sz w:val="20"/>
          <w:shd w:fill="FFFFFF" w:val="clear"/>
        </w:rPr>
        <w:t>As a result of</w:t>
      </w:r>
      <w:r>
        <w:rPr>
          <w:color w:val="000000"/>
        </w:rPr>
        <w:t xml:space="preserve"> </w:t>
      </w:r>
      <w:r>
        <w:rPr>
          <w:rFonts w:ascii="Arial;sans-serif" w:hAnsi="Arial;sans-serif"/>
          <w:b w:val="false"/>
          <w:color w:val="000000"/>
          <w:sz w:val="20"/>
        </w:rPr>
        <w:t>the amendment and restatement, during the three months</w:t>
      </w:r>
      <w:r>
        <w:rPr>
          <w:color w:val="000000"/>
          <w:shd w:fill="FFFFFF" w:val="clear"/>
        </w:rPr>
        <w:t xml:space="preserve"> </w:t>
      </w:r>
      <w:r>
        <w:rPr>
          <w:rFonts w:ascii="Arial;sans-serif" w:hAnsi="Arial;sans-serif"/>
          <w:b w:val="false"/>
          <w:color w:val="000000"/>
          <w:sz w:val="20"/>
          <w:shd w:fill="FFFFFF" w:val="clear"/>
        </w:rPr>
        <w:t xml:space="preserve">ended March 31, 2025, </w:t>
      </w:r>
      <w:r>
        <w:rPr>
          <w:rFonts w:ascii="Arial;sans-serif" w:hAnsi="Arial;sans-serif"/>
          <w:b w:val="false"/>
          <w:color w:val="000000"/>
          <w:sz w:val="20"/>
        </w:rPr>
        <w:t>we recognized a loss from early extinguishment of debt of approximately $0.3 million related to unamortized origination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Interest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expense decreased by approximately $11.4 million for the three months ended March 31, 2026 compared to 2025, as detailed below.</w:t>
      </w:r>
    </w:p>
    <w:tbl>
      <w:tblPr>
        <w:tblW w:w="10205" w:type="dxa"/>
        <w:jc w:val="left"/>
        <w:tblInd w:w="0" w:type="dxa"/>
        <w:tblLayout w:type="fixed"/>
        <w:tblCellMar>
          <w:top w:w="28" w:type="dxa"/>
          <w:left w:w="28" w:type="dxa"/>
          <w:bottom w:w="28" w:type="dxa"/>
          <w:right w:w="28" w:type="dxa"/>
        </w:tblCellMar>
      </w:tblPr>
      <w:tblGrid>
        <w:gridCol w:w="1882"/>
        <w:gridCol w:w="1595"/>
        <w:gridCol w:w="1600"/>
        <w:gridCol w:w="109"/>
        <w:gridCol w:w="109"/>
        <w:gridCol w:w="109"/>
        <w:gridCol w:w="906"/>
        <w:gridCol w:w="3229"/>
        <w:gridCol w:w="666"/>
      </w:tblGrid>
      <w:tr>
        <w:trPr/>
        <w:tc>
          <w:tcPr>
            <w:tcW w:w="188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Change in interest expense for the three months ended March 31, 2026 compared to March 31, 2025</w:t>
            </w:r>
          </w:p>
        </w:tc>
      </w:tr>
      <w:tr>
        <w:trPr/>
        <w:tc>
          <w:tcPr>
            <w:tcW w:w="5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Issuance of $1.0 billion in aggregate principal of 2.000% exchangeable senior notes due 2030 on September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1,696 </w:t>
            </w:r>
          </w:p>
        </w:tc>
        <w:tc>
          <w:tcPr>
            <w:tcW w:w="6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interest expense (excluding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increases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7,782 </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capitalized interest related to development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(6,174)</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$1.0 billion in aggregate principal of 3.650% senior notes due 2026 on February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(6,138)</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Decrease in interest associated with unsecured term loans and the unsecured credit facility, net </w:t>
            </w:r>
            <w:r>
              <w:rPr>
                <w:rFonts w:ascii="Arial;sans-serif" w:hAnsi="Arial;sans-serif"/>
                <w:b w:val="false"/>
                <w:color w:val="000000"/>
                <w:sz w:val="13"/>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Mortgage loan financings </w:t>
            </w:r>
            <w:r>
              <w:rPr>
                <w:rFonts w:ascii="Arial;sans-serif" w:hAnsi="Arial;sans-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w:t>
            </w:r>
          </w:p>
        </w:tc>
        <w:tc>
          <w:tcPr>
            <w:tcW w:w="6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$850 million in aggregate principal of 3.200% senior notes due 2025 on January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interest due to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decreases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(19,133)</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(11,351)</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 xml:space="preserve">(1)Includes, if applicable, fair value and swap adjustments (See Note </w:t>
      </w:r>
      <w:r>
        <w:rPr>
          <w:rFonts w:ascii="Arial;sans-serif" w:hAnsi="Arial;sans-serif"/>
          <w:b w:val="false"/>
          <w:color w:val="000000"/>
          <w:sz w:val="18"/>
        </w:rPr>
        <w:t>7</w:t>
      </w:r>
      <w:r>
        <w:rPr>
          <w:color w:val="000000"/>
          <w:shd w:fill="FFFFFF" w:val="clear"/>
        </w:rPr>
        <w:t xml:space="preserve"> </w:t>
      </w:r>
      <w:r>
        <w:rPr>
          <w:rFonts w:ascii="Arial;sans-serif" w:hAnsi="Arial;sans-serif"/>
          <w:b w:val="false"/>
          <w:color w:val="000000"/>
          <w:sz w:val="18"/>
          <w:shd w:fill="FFFFFF" w:val="clear"/>
        </w:rPr>
        <w:t>to the Consolidated Financial Statements).</w:t>
      </w:r>
    </w:p>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March 31, 2026 and 2025 was approximately $16.5 million and $10.3 million, respectively. These costs are not included in the interest expense referenced above.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March 31, 2026, our variable rate debt consisted of (1) BPLP’s $2.95 billion 2025 Credit Facility and (2) BPLP’s $750.0 million unsecured commercial paper program (“Commercial Paper Program”). The 2025 Credit Facility consists of (1) a revolving line of credit (the “Revolving Facility”) of $2.25 billion and (2) an unsecured term loan facility (the “Term Loan Facility”) of $700.0 million. As of March 31, 2026, there were $700.0 million and $750.0 million outstanding under the 2025 Credit Facility and Commercial Paper Program, respectively.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we have the $100.0 million 2024 Unsecured Term Loan and $800.0 million of mortgage notes collateralized by Santa Monica Business Park and 325 Main Street, 355 Main Street, 90 Broadway and Cambridge East Garage (also known as Kendall Center Green Garage) properties that bear interest at variable rates, which have all been hedged with interest rate swaps to fix SOFR for all or a portion of the applicable debt term. </w:t>
      </w:r>
    </w:p>
    <w:p>
      <w:pPr>
        <w:pStyle w:val="TextBody"/>
        <w:bidi w:val="0"/>
        <w:spacing w:lineRule="auto" w:line="288" w:before="180" w:after="283"/>
        <w:ind w:left="0" w:right="0" w:firstLine="495"/>
        <w:jc w:val="left"/>
        <w:rPr/>
      </w:pPr>
      <w:r>
        <w:rPr>
          <w:rFonts w:ascii="Arial;sans-serif" w:hAnsi="Arial;sans-serif"/>
          <w:b w:val="false"/>
          <w:color w:val="000000"/>
          <w:sz w:val="20"/>
        </w:rPr>
        <w:t>For a summary of our consolidated debt as of March 31, 2026 refer to the heading “</w:t>
      </w:r>
      <w:r>
        <w:rPr>
          <w:rFonts w:ascii="Arial;sans-serif" w:hAnsi="Arial;sans-serif"/>
          <w:b w:val="false"/>
          <w:i/>
          <w:color w:val="000000"/>
          <w:sz w:val="20"/>
        </w:rPr>
        <w:t>Liquidity and Capital Resources—Debt”</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color w:val="000000"/>
        </w:rPr>
        <w:t>”</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Noncontrolling Interests in Property Partnerships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Noncontrolling interests in property partnerships increased by approximately $1.1 million for the three months ended March 31, 2026 compared to 2025, as detailed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center"/>
        <w:tblInd w:w="0" w:type="dxa"/>
        <w:tblLayout w:type="fixed"/>
        <w:tblCellMar>
          <w:top w:w="28" w:type="dxa"/>
          <w:left w:w="28" w:type="dxa"/>
          <w:bottom w:w="28" w:type="dxa"/>
          <w:right w:w="28" w:type="dxa"/>
        </w:tblCellMar>
      </w:tblPr>
      <w:tblGrid>
        <w:gridCol w:w="1225"/>
        <w:gridCol w:w="1055"/>
        <w:gridCol w:w="1062"/>
        <w:gridCol w:w="109"/>
        <w:gridCol w:w="109"/>
        <w:gridCol w:w="109"/>
        <w:gridCol w:w="361"/>
        <w:gridCol w:w="1289"/>
        <w:gridCol w:w="186"/>
        <w:gridCol w:w="186"/>
        <w:gridCol w:w="186"/>
        <w:gridCol w:w="186"/>
        <w:gridCol w:w="361"/>
        <w:gridCol w:w="1289"/>
        <w:gridCol w:w="186"/>
        <w:gridCol w:w="186"/>
        <w:gridCol w:w="186"/>
        <w:gridCol w:w="186"/>
        <w:gridCol w:w="361"/>
        <w:gridCol w:w="1109"/>
        <w:gridCol w:w="278"/>
      </w:tblGrid>
      <w:tr>
        <w:trPr/>
        <w:tc>
          <w:tcPr>
            <w:tcW w:w="122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Noncontrolling Interests in Property Partnerships for the three months ended March 31,</w:t>
            </w:r>
          </w:p>
        </w:tc>
      </w:tr>
      <w:tr>
        <w:trPr/>
        <w:tc>
          <w:tcPr>
            <w:tcW w:w="3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767 Fifth Avenue (the General Motors Building)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 Times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601 Lexington Avenue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100 Federal Street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Atlantic Wharf Office Building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343 Madison Avenue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300 Binney Street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290 Binney Street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(1)On August 27, 2025, we acquired our partner’s 45% ownership interest.</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(2)Property is currently in development.</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Noncontrolling Interest—Common Units of the Operating Partnership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BXP, noncontrolling interest—common units of the Operating Partnership increased by approximately $4.6 million for the three months ended March 31, 2026 compared to 2025 primarily due to an increase in allocable income, which was the result of recognizing greater gains on sales of real estate during 2026. Due to our ownership structure, there is no corresponding line item on BPLP’s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 xml:space="preserve">Liquidity and Capital Resources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General</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Our principal liquidity needs for the next twelve months and beyond are to:</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normal recurring expenses;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meet debt service and principal repayment obligations on maturing debt, including: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$100.0 million of principal outstanding on the 2024 Unsecured Term Loan due September 26, 2026, for which we have two, one-year extension options, subject to customary conditions;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$1.0 billion of 2.750% unsecured senior notes due October 1, 2026;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amounts that become due under the Commercial Paper Program;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capital calls from our unconsolidated joint venture investments to fund development costs, capital improvements, leasing costs and debt principal repayment;</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mezzanine debt obligations;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development and redevelopment costs;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capital expenditures, including major renovations, tenant improvements and leasing costs;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possible acquisitions of properties, either directly or indirectly through the acquisition of equity interests;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make the minimum distribution required to enable BXP to maintain its REIT qualification under the Code.</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We expect to satisfy these needs using one or more of the following: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cash flow from operations;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distributions of cash flows from joint ventures;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cash and cash equivalent balances;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borrowings under BPLP’s Revolving Facility, unsecured term loans, short-term bridge facilities and construction loans (which may require guarantees by BPLP);</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proceeds from the sales of real estate and interests in joint ventures owning real estate, including proceeds generated from BXP’s asset sales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long-term secured and unsecured indebtedness (including unsecured exchangeable indebtedness);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private equity sources, including institutional investors;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third-party fees generated by our property management, leasing, development and construction businesses; and </w:t>
      </w:r>
    </w:p>
    <w:p>
      <w:pPr>
        <w:pStyle w:val="TextBody"/>
        <w:bidi w:val="0"/>
        <w:spacing w:lineRule="auto" w:line="288" w:before="100" w:after="240"/>
        <w:ind w:left="0" w:right="0" w:hanging="360"/>
        <w:jc w:val="left"/>
        <w:rPr/>
      </w:pPr>
      <w:r>
        <w:rPr>
          <w:color w:val="000000"/>
        </w:rPr>
        <w:t>•</w:t>
      </w:r>
      <w:r>
        <w:rPr>
          <w:rFonts w:ascii="Arial;sans-serif" w:hAnsi="Arial;sans-serif"/>
          <w:b w:val="false"/>
          <w:color w:val="000000"/>
          <w:sz w:val="20"/>
        </w:rPr>
        <w:t>issuances of BXP equity securities and/or preferred or common units of partnership interests in BPLP.</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draw on multiple financing sources to fund our long-term capital needs. We use BPLP’s Revolving Facility primarily as a bridge facility to fund acquisition opportunities, refinance outstanding indebtedness, fund short-term development costs and for working capital. We also use BPLP’s Revolving Facility to backstop the Commercial Paper Program. Although we may seek to fund our development projects with construction loans, which may require guarantees by BPLP, the source of financing for each particular project ultimately depends on several factors, including, among others, the project’s size and duration, whether the project is funded and owned by a joint venture, the extent of pre-leasing, our available cash and access to cost effective capital at the given time.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interest earned on cash deposits and, from time to time, the sale of assets. We believe these capital sources will continue to meet our short-term liquidity needs. A material adverse change in one or more sources of capital may adversely affect our net cash flows and our ability to repay or refinance existing indebtedness as it matures.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Balance Sheet &amp; Financing Activity</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May 1, 2026, we had available cash of approximately $464.0 million (of which approximately $120.2 million was attributable to our consolidated joint venture partners). Our liquidity and capital resources depend on a wide range of factors, and we believe that our access to capital and our strong liquidity, including the approximately $1.5 billion available under BPLP’s Revolving Facility (after deducting the $750.0 million being used as a backstop for the Commercial Paper Program) as of May 1, 2026, and our available cash are sufficient to fund our near-term capital needs on existing development and redevelopment projects, repay our maturing indebtedness when due (if not refinanced or extended), satisfy our REIT distribution requirements (see “REIT Tax Distribution Considerations” below) and still allow us to act opportunistically on attractive investment opportunities.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From January 1, 2025 through May 1, 2026, we completed 17 sales transactions of which our share of the aggregate gross sales price was approximately $1.5 billion and our share of the net proceeds was approximately $1.2 billion.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may seek to enhance our liquidity to fund our current and future development activity, pursue attractive investment opportunities and refinance or repay indebtedness. Depending on then-current interest rates, the overall conditions in the public and private debt and equity markets, and our existing and expected leverage at the time, we may decide to access one or more of these capital sources. Doing so may result in greater cash and cash equivalents pending our use of the proceeds.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March 6, 2026, BXP renewed and increased the size of its “at the market” (“ATM”) stock offering program to $1.0 billion (See Note 10 to the Consolidated Financial Statements). We have not sold any shares under the ATM equity offering program.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Construction &amp; Redevelopment Activities</w:t>
      </w:r>
    </w:p>
    <w:p>
      <w:pPr>
        <w:pStyle w:val="TextBody"/>
        <w:bidi w:val="0"/>
        <w:spacing w:lineRule="auto" w:line="288" w:before="4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March 31, 2026, we have six properties under development or redevelopment. Our share of the estimated total investment for these projects is approximately $3.7 billion, of which approximately $2.3 billion remained to be invested as of March 31, 2026. The commercial space in the pipeline, which excludes residential units, was approximately 61% pre-leased as of May 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information on properties under construction/redevelopment as of March 31, 2026 (dollars in thousands):</w:t>
      </w:r>
    </w:p>
    <w:tbl>
      <w:tblPr>
        <w:tblW w:w="14828" w:type="dxa"/>
        <w:jc w:val="left"/>
        <w:tblInd w:w="0" w:type="dxa"/>
        <w:tblLayout w:type="fixed"/>
        <w:tblCellMar>
          <w:top w:w="28" w:type="dxa"/>
          <w:left w:w="28" w:type="dxa"/>
          <w:bottom w:w="28" w:type="dxa"/>
          <w:right w:w="28" w:type="dxa"/>
        </w:tblCellMar>
      </w:tblPr>
      <w:tblGrid>
        <w:gridCol w:w="562"/>
        <w:gridCol w:w="349"/>
        <w:gridCol w:w="350"/>
        <w:gridCol w:w="109"/>
        <w:gridCol w:w="109"/>
        <w:gridCol w:w="109"/>
        <w:gridCol w:w="305"/>
        <w:gridCol w:w="305"/>
        <w:gridCol w:w="306"/>
        <w:gridCol w:w="109"/>
        <w:gridCol w:w="109"/>
        <w:gridCol w:w="109"/>
        <w:gridCol w:w="324"/>
        <w:gridCol w:w="324"/>
        <w:gridCol w:w="328"/>
        <w:gridCol w:w="109"/>
        <w:gridCol w:w="109"/>
        <w:gridCol w:w="109"/>
        <w:gridCol w:w="235"/>
        <w:gridCol w:w="235"/>
        <w:gridCol w:w="236"/>
        <w:gridCol w:w="109"/>
        <w:gridCol w:w="109"/>
        <w:gridCol w:w="109"/>
        <w:gridCol w:w="519"/>
        <w:gridCol w:w="352"/>
        <w:gridCol w:w="251"/>
        <w:gridCol w:w="109"/>
        <w:gridCol w:w="109"/>
        <w:gridCol w:w="109"/>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240"/>
        <w:gridCol w:w="497"/>
        <w:gridCol w:w="134"/>
        <w:gridCol w:w="109"/>
        <w:gridCol w:w="109"/>
        <w:gridCol w:w="109"/>
        <w:gridCol w:w="196"/>
        <w:gridCol w:w="871"/>
        <w:gridCol w:w="109"/>
        <w:gridCol w:w="109"/>
        <w:gridCol w:w="109"/>
        <w:gridCol w:w="109"/>
        <w:gridCol w:w="225"/>
        <w:gridCol w:w="196"/>
        <w:gridCol w:w="434"/>
        <w:gridCol w:w="372"/>
      </w:tblGrid>
      <w:tr>
        <w:trPr/>
        <w:tc>
          <w:tcPr>
            <w:tcW w:w="56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Financings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Construction/Redevelopment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Stabilization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Investment to Date </w:t>
            </w:r>
            <w:r>
              <w:rPr>
                <w:rFonts w:ascii="Arial;sans-serif" w:hAnsi="Arial;sans-serif"/>
                <w:b/>
                <w:color w:val="000000"/>
                <w:sz w:val="9"/>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Estimated Total Investment </w:t>
            </w:r>
            <w:r>
              <w:rPr>
                <w:rFonts w:ascii="Arial;sans-serif" w:hAnsi="Arial;sans-serif"/>
                <w:b/>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Total Available </w:t>
            </w:r>
            <w:r>
              <w:rPr>
                <w:rFonts w:ascii="Arial;sans-serif" w:hAnsi="Arial;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Outstanding at March 31, 2026 </w:t>
            </w:r>
          </w:p>
          <w:p>
            <w:pPr>
              <w:pStyle w:val="TableContents"/>
              <w:bidi w:val="0"/>
              <w:spacing w:lineRule="auto" w:line="240" w:before="0" w:after="0"/>
              <w:jc w:val="center"/>
              <w:rPr>
                <w:rFonts w:ascii="Arial;sans-serif" w:hAnsi="Arial;sans-serif"/>
                <w:b/>
                <w:color w:val="000000"/>
                <w:sz w:val="9"/>
              </w:rPr>
            </w:pP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Estimated Future Equity Requirement </w:t>
            </w:r>
            <w:r>
              <w:rPr>
                <w:rFonts w:ascii="Arial;sans-serif" w:hAnsi="Arial;sans-serif"/>
                <w:b/>
                <w:color w:val="000000"/>
                <w:sz w:val="9"/>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Percentage Leased </w:t>
            </w:r>
            <w:r>
              <w:rPr>
                <w:rFonts w:ascii="Arial;sans-serif" w:hAnsi="Arial;sans-serif"/>
                <w:b/>
                <w:color w:val="000000"/>
                <w:sz w:val="9"/>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725 12th Street (Redevelopment)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Q4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Washington, 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97,519 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343 Madison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1,971,000 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Office Properties under Construction/Redevelopment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1,250,000 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2,320,600 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1,876,980 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 xml:space="preserve">Laboratory/Life Sciences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290 Binney Street (55%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Cambridge,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573,000 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Arial;sans-serif" w:hAnsi="Arial;sans-serif"/>
                <w:b w:val="false"/>
                <w:color w:val="000000"/>
                <w:sz w:val="12"/>
              </w:rPr>
            </w:pPr>
            <w:r>
              <w:rPr>
                <w:rFonts w:ascii="Arial;sans-serif" w:hAnsi="Arial;sans-serif"/>
                <w:b w:val="false"/>
                <w:color w:val="000000"/>
                <w:sz w:val="12"/>
              </w:rPr>
              <w:t>(6)</w:t>
            </w:r>
          </w:p>
        </w:tc>
      </w:tr>
      <w:tr>
        <w:trPr/>
        <w:tc>
          <w:tcPr>
            <w:tcW w:w="413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Laboratory/Life Sciences Properties under Construction/Redevelopment</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573,000 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379,970 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u w:val="single"/>
              </w:rPr>
              <w:t xml:space="preserve">Residential </w:t>
            </w:r>
            <w:r>
              <w:rPr>
                <w:rFonts w:ascii="Arial;sans-serif" w:hAnsi="Arial;sans-serif"/>
                <w:b/>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17 Hartwell Avenue (312 units) (20% ownership)</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Lexington,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347,000 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17 Hartwell Avenue -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121 Broadway Street (439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Cambridge,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121 Broadway Street -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290 Coles Street (670 Units) (19.46% ownership)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Jersey City,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693,000 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Arial;sans-serif" w:hAnsi="Arial;sans-serif"/>
                <w:b w:val="false"/>
                <w:color w:val="000000"/>
                <w:sz w:val="12"/>
              </w:rPr>
            </w:pPr>
            <w:r>
              <w:rPr>
                <w:rFonts w:ascii="Arial;sans-serif" w:hAnsi="Arial;sans-serif"/>
                <w:b w:val="false"/>
                <w:color w:val="000000"/>
                <w:sz w:val="12"/>
              </w:rPr>
              <w:t>(8)</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290 Coles Street -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Residential Properties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1,546,650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357,669 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722,400 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288,584 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Properties under Construction/Redevelopment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3,369,650 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1,181,259 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3,551,000 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2,293,594 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61 </w:t>
            </w:r>
          </w:p>
        </w:tc>
        <w:tc>
          <w:tcPr>
            <w:tcW w:w="4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(9)</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(1)Represents our share.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(2)Each of Investment to Date, Estimated Total Investment and Estimated Future Equity Requirement represent our share of acquisition expenses, as applicable, and reflects our share of the estimated net revenue/expenses that we expect to incur prior to stabilization of the project, including any amounts actually received or paid through March 31, 2026.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(3)Includes approximately $102.4 million of unpaid but accrued construction costs and leasing commissions.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(4)Excludes approximately $102.4 million of unpaid but accrued construction costs and leasing commissions.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(5)Represents percentage leased as of May 1, 2026, including leases with future commencement dates.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(6)The Estimated Total Investment reflects our 55% share of joint venture costs related to 290 Binney Street.  In addition, we have the sole obligation to construct an underground electrical vault for an estimated gross cost of $183.9 million. We have entered into a contract to sell the electrical vault to a third-party for a fixed price of $84.1 million upon completion.  The net investment of $99.8 million will be included in our outside basis in 290 Binney Street. We have invested $133.1 million for the vault as of March 31, 2026.</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(7)Residential Projects are shown in gross square feet beginning first quarter 2026.</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(8)On March 5, 2025, we acquired a 19.46% interest in 290 Coles Street. The budget represents our 19.46% ownership of the project budget and financings which includes our share of preferred equity. We contributed $20.0 million of common equity at closing. In addition, we committed to provide up to $65.0 million in preferred equity accruing at a 13.0% internal rate of return. As of March 31, 2026, approximately $60.0 million of preferred equity has been contributed.</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(9)Percentage leased excludes residential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 xml:space="preserve">REIT Tax Distribution Considerations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Dividend</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a REIT, BXP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Holders of common and LTIP units (other than unearned MYLTIP units) of limited partnership interest in BPLP receive the same distribution per unit that is paid per share of BXP common stock.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Sales </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To the extent that we sell assets at a gain and cannot efficiently use the proceeds in a tax deferred manner for either our development activities or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From time to time in select cases, whether due to a change in use, structuring issues to comply with applicable REIT regulations or other reasons, we may sell an asset that is held by a taxable REIT subsidiary (“TRS”). Such a sale by a TRS would be subject to federal and local taxes.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Cash Flow Summary</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summary discussion of our cash flows is based on the Consolidated Statements of Cash Flows and is not meant to be an all-inclusive discussion of the changes in our cash flows for the periods presented below.</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Cash and cash equivalents and cash held in escrows aggregated approximately $581.3 million and $479.2 million at March 31, 2026 and 2025, respectively, representing an increase of approximately $102.0 million. The following table sets forth changes in cash flows:</w:t>
      </w:r>
    </w:p>
    <w:tbl>
      <w:tblPr>
        <w:tblW w:w="8649" w:type="dxa"/>
        <w:jc w:val="left"/>
        <w:tblInd w:w="0" w:type="dxa"/>
        <w:tblLayout w:type="fixed"/>
        <w:tblCellMar>
          <w:top w:w="28" w:type="dxa"/>
          <w:left w:w="28" w:type="dxa"/>
          <w:bottom w:w="28" w:type="dxa"/>
          <w:right w:w="28" w:type="dxa"/>
        </w:tblCellMar>
      </w:tblPr>
      <w:tblGrid>
        <w:gridCol w:w="1614"/>
        <w:gridCol w:w="1415"/>
        <w:gridCol w:w="1425"/>
        <w:gridCol w:w="213"/>
        <w:gridCol w:w="867"/>
        <w:gridCol w:w="109"/>
        <w:gridCol w:w="109"/>
        <w:gridCol w:w="109"/>
        <w:gridCol w:w="109"/>
        <w:gridCol w:w="211"/>
        <w:gridCol w:w="856"/>
        <w:gridCol w:w="109"/>
        <w:gridCol w:w="109"/>
        <w:gridCol w:w="109"/>
        <w:gridCol w:w="109"/>
        <w:gridCol w:w="211"/>
        <w:gridCol w:w="811"/>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4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Our principal source of cash flow is related to the operation of our properties. The weighted-average term of our in-place leases, including leases signed by our unconsolidated joint ventures, excluding residential units, was approximately 7.6 years as of March 31, 2026, with occupancy rates historically in the range of approximately 86% to 92%. Generally, our properties generate a relatively consistent stream of cash flows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pStyle w:val="TextBody"/>
        <w:bidi w:val="0"/>
        <w:spacing w:lineRule="auto" w:line="288" w:before="180" w:after="283"/>
        <w:ind w:left="0" w:right="0" w:firstLine="495"/>
        <w:jc w:val="left"/>
        <w:rPr/>
      </w:pPr>
      <w:r>
        <w:rPr>
          <w:rFonts w:ascii="Arial;sans-serif" w:hAnsi="Arial;sans-serif"/>
          <w:b w:val="false"/>
          <w:color w:val="000000"/>
          <w:sz w:val="20"/>
        </w:rPr>
        <w:t xml:space="preserve">Cash is used in investing activities to fund acquisitions, development, net investments in unconsolidated joint ventures and maintenance and repositioning capital expenditures. Cash is provided by investing activities from sales of real estate and sales of investments in unconsolidated joint ventures. Cash provided by (used in) investing activities for the </w:t>
      </w:r>
      <w:r>
        <w:rPr>
          <w:rFonts w:ascii="Arial;sans-serif" w:hAnsi="Arial;sans-serif"/>
          <w:b w:val="false"/>
          <w:color w:val="000000"/>
          <w:sz w:val="20"/>
          <w:shd w:fill="FFFFFF" w:val="clear"/>
        </w:rPr>
        <w:t>three months</w:t>
      </w:r>
      <w:r>
        <w:rPr>
          <w:color w:val="000000"/>
        </w:rPr>
        <w:t xml:space="preserve"> </w:t>
      </w:r>
      <w:r>
        <w:rPr>
          <w:rFonts w:ascii="Arial;sans-serif" w:hAnsi="Arial;sans-serif"/>
          <w:b w:val="false"/>
          <w:color w:val="000000"/>
          <w:sz w:val="20"/>
        </w:rPr>
        <w:t>ended March 31, 2026 and March 31, 2025 is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9144" w:type="dxa"/>
        <w:jc w:val="left"/>
        <w:tblInd w:w="0" w:type="dxa"/>
        <w:tblLayout w:type="fixed"/>
        <w:tblCellMar>
          <w:top w:w="28" w:type="dxa"/>
          <w:left w:w="28" w:type="dxa"/>
          <w:bottom w:w="28" w:type="dxa"/>
          <w:right w:w="28" w:type="dxa"/>
        </w:tblCellMar>
      </w:tblPr>
      <w:tblGrid>
        <w:gridCol w:w="2279"/>
        <w:gridCol w:w="2005"/>
        <w:gridCol w:w="2016"/>
        <w:gridCol w:w="211"/>
        <w:gridCol w:w="916"/>
        <w:gridCol w:w="109"/>
        <w:gridCol w:w="109"/>
        <w:gridCol w:w="109"/>
        <w:gridCol w:w="109"/>
        <w:gridCol w:w="211"/>
        <w:gridCol w:w="916"/>
        <w:gridCol w:w="154"/>
      </w:tblGrid>
      <w:tr>
        <w:trPr/>
        <w:tc>
          <w:tcPr>
            <w:tcW w:w="2279"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Construction in progress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Building, pre-development and other capital improvements </w:t>
            </w:r>
            <w:r>
              <w:rPr>
                <w:rFonts w:ascii="Arial;sans-serif" w:hAnsi="Arial;sans-serif"/>
                <w:b w:val="false"/>
                <w:color w:val="000000"/>
                <w:sz w:val="13"/>
              </w:rPr>
              <w:t>(2)</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Proceeds from sales of real estate </w:t>
            </w:r>
            <w:r>
              <w:rPr>
                <w:rFonts w:ascii="Arial;sans-serif" w:hAnsi="Arial;sans-serif"/>
                <w:b w:val="false"/>
                <w:color w:val="000000"/>
                <w:sz w:val="13"/>
              </w:rPr>
              <w:t>(3)</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Capital contributions to unconsolidated joint ventures </w:t>
            </w:r>
            <w:r>
              <w:rPr>
                <w:rFonts w:ascii="Arial;sans-serif" w:hAnsi="Arial;sans-serif"/>
                <w:b w:val="false"/>
                <w:color w:val="000000"/>
                <w:sz w:val="13"/>
              </w:rPr>
              <w:t>(4)</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Capital distributions from unconsolidated joint ventures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Proceeds from sales of investments in unconsolidated joint ventures </w:t>
            </w:r>
            <w:r>
              <w:rPr>
                <w:rFonts w:ascii="Arial;sans-serif" w:hAnsi="Arial;sans-serif"/>
                <w:b w:val="false"/>
                <w:color w:val="000000"/>
                <w:sz w:val="13"/>
              </w:rPr>
              <w:t>(5)</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non-real estate investments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Issuance of note receivables (including related party)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securities,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70"/>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(309,143)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Cash provided by (used in) investing activities changed primarily due to the following:</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(1)</w:t>
      </w:r>
      <w:r>
        <w:rPr>
          <w:rFonts w:ascii="Arial;sans-serif" w:hAnsi="Arial;sans-serif"/>
          <w:b w:val="false"/>
          <w:color w:val="000000"/>
          <w:sz w:val="20"/>
        </w:rPr>
        <w:t xml:space="preserve">Construction in progress for the three months ended March 31, 2026 included ongoing expenditures associated with Reston Next Retail which was fully placed in-service during the three months ended March 31, 2026. In addition, we incurred costs associated with our continued development/redevelopment of 290 Binney Street, 121 Broadway Street, 725 12th Street and 343 Madison Avenue.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Construction in progress for the three months ended March 31, 2025 included ongoing expenditures associated with Reston Next Office Phase II and Reston Next Retail, which were partially placed in-service during the three months ended March 31, 2025. In addition, we incurred costs associated with our continued development/redevelopment of 290 Binney Street, 121 Broadway Street, 725 12th Street and 1050 Winter Street. </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(2)</w:t>
      </w:r>
      <w:r>
        <w:rPr>
          <w:rFonts w:ascii="Arial;sans-serif" w:hAnsi="Arial;sans-serif"/>
          <w:b w:val="false"/>
          <w:color w:val="000000"/>
          <w:sz w:val="20"/>
        </w:rPr>
        <w:t xml:space="preserve">Building, pre-development and other capital improvements for the three months ended March 31, 2025 included approximately $18.0 million of pre-development expenditures associated with the 343 Madison Avenue project. Beginning July 31, 2025, costs associated with the continued development of 343 Madison Avenue are included within construction in progress. </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(3)</w:t>
      </w:r>
      <w:r>
        <w:rPr>
          <w:rFonts w:ascii="Arial;sans-serif" w:hAnsi="Arial;sans-serif"/>
          <w:b w:val="false"/>
          <w:color w:val="000000"/>
          <w:sz w:val="20"/>
        </w:rPr>
        <w:t>Proceeds from sales of real estate for the three months ended March 31, 2026 was primarily from three transactions (See Note 3 to the Consolidated Financial Statements).</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(4)</w:t>
      </w:r>
      <w:r>
        <w:rPr>
          <w:rFonts w:ascii="Arial;sans-serif" w:hAnsi="Arial;sans-serif"/>
          <w:b w:val="false"/>
          <w:color w:val="000000"/>
          <w:sz w:val="20"/>
        </w:rPr>
        <w:t xml:space="preserve">Capital contributions to unconsolidated joint ventures for the three months ended March 31, 2026 consisted primarily of cash contributions of approximately $30.3 million and $6.1 million to our 290 Coles Street and 200 Fifth Avenue joint ventures, respectively.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Capital contributions to unconsolidated joint ventures for the three months ended March 31, 2025 consisted primarily of cash contributions of approximately $21.2 million, $20.0 million and $6.2 million to our 751 Gateway, 290 Coles Street and 360 Park Avenue South joint ventures, respectively. On March 5, 2025, we entered into a new joint venture for the development of 290 Coles Street.</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(5)</w:t>
      </w:r>
      <w:r>
        <w:rPr>
          <w:rFonts w:ascii="Arial;sans-serif" w:hAnsi="Arial;sans-serif"/>
          <w:b w:val="false"/>
          <w:color w:val="000000"/>
          <w:sz w:val="20"/>
        </w:rPr>
        <w:t xml:space="preserve">Proceeds from sales of investments in unconsolidated joint ventures for the three months ended March 31, 2026 was primarily from two transactions (See Note 5 to the Consolidated Financial Statements). </w:t>
      </w:r>
    </w:p>
    <w:p>
      <w:pPr>
        <w:pStyle w:val="TextBody"/>
        <w:bidi w:val="0"/>
        <w:spacing w:lineRule="auto" w:line="288" w:before="180" w:after="283"/>
        <w:ind w:left="0" w:right="0" w:firstLine="495"/>
        <w:jc w:val="left"/>
        <w:rPr/>
      </w:pPr>
      <w:r>
        <w:rPr>
          <w:rFonts w:ascii="Arial;sans-serif" w:hAnsi="Arial;sans-serif"/>
          <w:b w:val="false"/>
          <w:color w:val="000000"/>
          <w:sz w:val="20"/>
        </w:rPr>
        <w:t xml:space="preserve">Cash used in financing activities for the three months ended March 31, 2026 totaled approximately $1.1 billion. This amount consisted primarily of the repayment of BPLP’s $1.0 billion in aggregate principal amount of its 3.650% unsecured senior notes due February 1, 2026 and the payment of our regular dividends and distributions to our shareholders and unitholders. Future debt payments are discussed below under the heading </w:t>
      </w:r>
      <w:r>
        <w:rPr>
          <w:color w:val="000000"/>
        </w:rPr>
        <w:t>“</w:t>
      </w:r>
      <w:r>
        <w:rPr>
          <w:rFonts w:ascii="Arial;sans-serif" w:hAnsi="Arial;sans-serif"/>
          <w:b w:val="false"/>
          <w:i/>
          <w:color w:val="000000"/>
          <w:sz w:val="20"/>
        </w:rPr>
        <w:t>Debt.</w:t>
      </w:r>
      <w:r>
        <w:rPr>
          <w:color w:val="000000"/>
        </w:rPr>
        <w:t>”</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Capitalization</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left"/>
        <w:tblInd w:w="0" w:type="dxa"/>
        <w:tblLayout w:type="fixed"/>
        <w:tblCellMar>
          <w:top w:w="28" w:type="dxa"/>
          <w:left w:w="28" w:type="dxa"/>
          <w:bottom w:w="28" w:type="dxa"/>
          <w:right w:w="28" w:type="dxa"/>
        </w:tblCellMar>
      </w:tblPr>
      <w:tblGrid>
        <w:gridCol w:w="1363"/>
        <w:gridCol w:w="1026"/>
        <w:gridCol w:w="1026"/>
        <w:gridCol w:w="109"/>
        <w:gridCol w:w="109"/>
        <w:gridCol w:w="109"/>
        <w:gridCol w:w="651"/>
        <w:gridCol w:w="624"/>
        <w:gridCol w:w="625"/>
        <w:gridCol w:w="109"/>
        <w:gridCol w:w="109"/>
        <w:gridCol w:w="109"/>
        <w:gridCol w:w="666"/>
        <w:gridCol w:w="603"/>
        <w:gridCol w:w="604"/>
        <w:gridCol w:w="109"/>
        <w:gridCol w:w="109"/>
        <w:gridCol w:w="109"/>
        <w:gridCol w:w="223"/>
        <w:gridCol w:w="1147"/>
        <w:gridCol w:w="287"/>
        <w:gridCol w:w="109"/>
        <w:gridCol w:w="109"/>
        <w:gridCol w:w="161"/>
      </w:tblGrid>
      <w:tr>
        <w:trPr/>
        <w:tc>
          <w:tcPr>
            <w:tcW w:w="136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 Units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Equivalent Value </w:t>
            </w:r>
            <w:r>
              <w:rPr>
                <w:rFonts w:ascii="Arial;sans-serif" w:hAnsi="Arial;sans-serif"/>
                <w:b/>
                <w:color w:val="000000"/>
                <w:sz w:val="12"/>
              </w:rPr>
              <w:t>(1)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158,676 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158,676 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8,235,284 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Operating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18,787 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18,787 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975,045 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177,463 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9,210,329 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Consolidated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15,614,009 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BXP’s share of unconsolidated joint venture debt </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1,098,382 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Partners’ share of Consolidated Debt </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1,364,858 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15,347,533 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24,824,338 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Market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24,557,862 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Debt/Consolidated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Debt/BXP’s Share of Market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(1)Values are based on the closing price per share of BXP’s common stock on the New York Stock Exchange on March 31, 2026 of $51.90.</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(2)Includes long-term incentive plan units (including 2012 OPP Units and 2013 - 2023 MYLTIP Units but excludes the 2024 - 2026 MYLTIP Units and 2025 OPP Units because the performance periods had not ended as of March 31, 2026).</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(3)See page 62 for additional information.</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(4)See page 60 for additional information.</w:t>
      </w:r>
    </w:p>
    <w:p>
      <w:pPr>
        <w:pStyle w:val="TextBody"/>
        <w:bidi w:val="0"/>
        <w:spacing w:before="100" w:after="283"/>
        <w:ind w:left="0" w:right="0" w:firstLine="495"/>
        <w:jc w:val="left"/>
        <w:rPr/>
      </w:pPr>
      <w:r>
        <w:rPr/>
      </w:r>
    </w:p>
    <w:p>
      <w:pPr>
        <w:pStyle w:val="TextBody"/>
        <w:bidi w:val="0"/>
        <w:spacing w:lineRule="auto" w:line="288" w:before="0" w:after="200"/>
        <w:ind w:left="0" w:right="0" w:firstLine="450"/>
        <w:jc w:val="left"/>
        <w:rPr>
          <w:rFonts w:ascii="Arial;sans-serif" w:hAnsi="Arial;sans-serif"/>
          <w:b w:val="false"/>
          <w:color w:val="000000"/>
          <w:sz w:val="20"/>
        </w:rPr>
      </w:pPr>
      <w:r>
        <w:rPr>
          <w:rFonts w:ascii="Arial;sans-serif" w:hAnsi="Arial;sans-serif"/>
          <w:b w:val="false"/>
          <w:color w:val="000000"/>
          <w:sz w:val="20"/>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pStyle w:val="TextBody"/>
        <w:bidi w:val="0"/>
        <w:spacing w:lineRule="auto" w:line="288"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(1)     our consolidated debt; plus</w:t>
      </w:r>
    </w:p>
    <w:p>
      <w:pPr>
        <w:pStyle w:val="TextBody"/>
        <w:bidi w:val="0"/>
        <w:spacing w:lineRule="auto" w:line="288"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(2)     the product of (x) the closing price per share of BXP common stock on March 31, 2026, as reported by the New York Stock Exchange, multiplied by (y) the sum of:</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 xml:space="preserve">(i)     the number of outstanding shares of common stock of BXP, </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(ii)     the number of outstanding OP Units in BPLP (excluding OP Units held by BXP),</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(iii)     the number of OP Units issuable upon conversion of all outstanding LTIP Units, assuming all conditions have been met for the conversion of the LTIP Units, and</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(iv)     the number of OP Units issuable upon conversion of 2012 OPP Units, and 2013 - 2023 MYLTIP Units that were issued in the form of LTIP Units.</w:t>
      </w:r>
    </w:p>
    <w:p>
      <w:pPr>
        <w:pStyle w:val="TextBody"/>
        <w:bidi w:val="0"/>
        <w:spacing w:lineRule="auto" w:line="288" w:before="0" w:after="20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calculation of consolidated market capitalization does not include LTIP Units issued in the form of 2012 and 2025 OPP Units or MYLTIP Units unless and until certain performance thresholds are achieved and they are earned. Because their performance periods have not yet ended, the 2024 - 2026 MYLTIP Units and 2025 OPP Units are not included in this calculation as of March 31, 2026.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pStyle w:val="TextBody"/>
        <w:bidi w:val="0"/>
        <w:spacing w:lineRule="auto" w:line="288" w:before="180" w:after="283"/>
        <w:ind w:left="0" w:right="0" w:firstLine="450"/>
        <w:jc w:val="left"/>
        <w:rPr/>
      </w:pPr>
      <w:r>
        <w:rPr>
          <w:rFonts w:ascii="Arial;sans-serif" w:hAnsi="Arial;sans-serif"/>
          <w:b w:val="false"/>
          <w:color w:val="000000"/>
          <w:sz w:val="20"/>
        </w:rPr>
        <w:t>For a discussion of our unconsolidated joint venture indebtedness, see “</w:t>
      </w:r>
      <w:r>
        <w:rPr>
          <w:rFonts w:ascii="Arial;sans-serif" w:hAnsi="Arial;sans-serif"/>
          <w:b w:val="false"/>
          <w:i/>
          <w:color w:val="000000"/>
          <w:sz w:val="20"/>
        </w:rPr>
        <w:t>Liquidity and Capital Resources—Investment in Unconsolidated Joint Ventures - Secured Debt” w</w:t>
      </w:r>
      <w:r>
        <w:rPr>
          <w:rFonts w:ascii="Arial;sans-serif" w:hAnsi="Arial;sans-serif"/>
          <w:b w:val="false"/>
          <w:color w:val="000000"/>
          <w:sz w:val="20"/>
        </w:rPr>
        <w:t>ithin “</w:t>
      </w:r>
      <w:r>
        <w:rPr>
          <w:rFonts w:ascii="Arial;sans-serif" w:hAnsi="Arial;sans-serif"/>
          <w:b w:val="false"/>
          <w:i/>
          <w:color w:val="000000"/>
          <w:sz w:val="20"/>
        </w:rPr>
        <w:t>Item 2—Management’s Discussion and Analysis of Financial Condition and Results of Operations</w:t>
      </w:r>
      <w:r>
        <w:rPr>
          <w:color w:val="000000"/>
        </w:rPr>
        <w:t xml:space="preserve">” </w:t>
      </w:r>
      <w:r>
        <w:rPr>
          <w:rFonts w:ascii="Arial;sans-serif" w:hAnsi="Arial;sans-serif"/>
          <w:b w:val="false"/>
          <w:color w:val="000000"/>
          <w:sz w:val="20"/>
        </w:rPr>
        <w:t xml:space="preserve">and for a discussion of our consolidated joint venture indebtedness see </w:t>
      </w:r>
      <w:r>
        <w:rPr>
          <w:color w:val="000000"/>
        </w:rPr>
        <w:t>“</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 xml:space="preserve">Debt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summarizes certain information with respect to our indebtedness outstanding as of March 31, 2026 and 2025 (dollars in thousands). </w:t>
      </w:r>
    </w:p>
    <w:tbl>
      <w:tblPr>
        <w:tblW w:w="10205" w:type="dxa"/>
        <w:jc w:val="left"/>
        <w:tblInd w:w="0" w:type="dxa"/>
        <w:tblLayout w:type="fixed"/>
        <w:tblCellMar>
          <w:top w:w="28" w:type="dxa"/>
          <w:left w:w="28" w:type="dxa"/>
          <w:bottom w:w="28" w:type="dxa"/>
          <w:right w:w="28" w:type="dxa"/>
        </w:tblCellMar>
      </w:tblPr>
      <w:tblGrid>
        <w:gridCol w:w="980"/>
        <w:gridCol w:w="861"/>
        <w:gridCol w:w="866"/>
        <w:gridCol w:w="109"/>
        <w:gridCol w:w="109"/>
        <w:gridCol w:w="109"/>
        <w:gridCol w:w="308"/>
        <w:gridCol w:w="308"/>
        <w:gridCol w:w="367"/>
        <w:gridCol w:w="109"/>
        <w:gridCol w:w="109"/>
        <w:gridCol w:w="109"/>
        <w:gridCol w:w="308"/>
        <w:gridCol w:w="308"/>
        <w:gridCol w:w="395"/>
        <w:gridCol w:w="109"/>
        <w:gridCol w:w="109"/>
        <w:gridCol w:w="109"/>
        <w:gridCol w:w="468"/>
        <w:gridCol w:w="379"/>
        <w:gridCol w:w="381"/>
        <w:gridCol w:w="109"/>
        <w:gridCol w:w="109"/>
        <w:gridCol w:w="109"/>
        <w:gridCol w:w="211"/>
        <w:gridCol w:w="976"/>
        <w:gridCol w:w="109"/>
        <w:gridCol w:w="109"/>
        <w:gridCol w:w="109"/>
        <w:gridCol w:w="109"/>
        <w:gridCol w:w="211"/>
        <w:gridCol w:w="976"/>
        <w:gridCol w:w="158"/>
      </w:tblGrid>
      <w:tr>
        <w:trPr/>
        <w:tc>
          <w:tcPr>
            <w:tcW w:w="98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GAAP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3/31/2025</w:t>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Unsecured Senior Notes </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Unsecured Senior Notes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6.924 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4.628 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21,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3.343 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15,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9,850,000 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discount and 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9,797,824 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left"/>
        <w:tblInd w:w="0" w:type="dxa"/>
        <w:tblLayout w:type="fixed"/>
        <w:tblCellMar>
          <w:top w:w="28" w:type="dxa"/>
          <w:left w:w="28" w:type="dxa"/>
          <w:bottom w:w="28" w:type="dxa"/>
          <w:right w:w="28" w:type="dxa"/>
        </w:tblCellMar>
      </w:tblPr>
      <w:tblGrid>
        <w:gridCol w:w="943"/>
        <w:gridCol w:w="828"/>
        <w:gridCol w:w="832"/>
        <w:gridCol w:w="120"/>
        <w:gridCol w:w="120"/>
        <w:gridCol w:w="120"/>
        <w:gridCol w:w="308"/>
        <w:gridCol w:w="308"/>
        <w:gridCol w:w="367"/>
        <w:gridCol w:w="109"/>
        <w:gridCol w:w="109"/>
        <w:gridCol w:w="109"/>
        <w:gridCol w:w="308"/>
        <w:gridCol w:w="308"/>
        <w:gridCol w:w="366"/>
        <w:gridCol w:w="109"/>
        <w:gridCol w:w="109"/>
        <w:gridCol w:w="109"/>
        <w:gridCol w:w="483"/>
        <w:gridCol w:w="316"/>
        <w:gridCol w:w="317"/>
        <w:gridCol w:w="109"/>
        <w:gridCol w:w="109"/>
        <w:gridCol w:w="109"/>
        <w:gridCol w:w="211"/>
        <w:gridCol w:w="1081"/>
        <w:gridCol w:w="109"/>
        <w:gridCol w:w="109"/>
        <w:gridCol w:w="109"/>
        <w:gridCol w:w="109"/>
        <w:gridCol w:w="211"/>
        <w:gridCol w:w="1081"/>
        <w:gridCol w:w="160"/>
      </w:tblGrid>
      <w:tr>
        <w:trPr/>
        <w:tc>
          <w:tcPr>
            <w:tcW w:w="9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GAAP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3/31/2025</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Unsecured Exchangeable Senior Notes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deferred financing costs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Unsecured Commercial Paper </w:t>
            </w:r>
            <w:r>
              <w:rPr>
                <w:rFonts w:ascii="Arial;sans-serif" w:hAnsi="Arial;sans-serif"/>
                <w:b/>
                <w:color w:val="000000"/>
                <w:sz w:val="12"/>
              </w:rPr>
              <w:t>(4)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Unsecured Line of Credit (Revolving Credit Facility) </w:t>
            </w:r>
            <w:r>
              <w:rPr>
                <w:rFonts w:ascii="Arial;sans-serif" w:hAnsi="Arial;sans-serif"/>
                <w:b/>
                <w:color w:val="000000"/>
                <w:sz w:val="12"/>
              </w:rPr>
              <w:t>(5)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29,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Unsecured Term Loans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2024 Unsecured Term Loan </w:t>
            </w:r>
            <w:r>
              <w:rPr>
                <w:rFonts w:ascii="Arial;sans-serif" w:hAnsi="Arial;sans-serif"/>
                <w:b w:val="false"/>
                <w:color w:val="000000"/>
                <w:sz w:val="12"/>
              </w:rPr>
              <w:t>(6)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Unsecured Term Loan Facility </w:t>
            </w:r>
            <w:r>
              <w:rPr>
                <w:rFonts w:ascii="Arial;sans-serif" w:hAnsi="Arial;sans-serif"/>
                <w:b w:val="false"/>
                <w:color w:val="000000"/>
                <w:sz w:val="12"/>
              </w:rPr>
              <w:t>(7)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30,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Deferred financing costs and fair value adjustments, net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Mortgage Notes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767 Fifth Avenue (the General Motors Building) (60% ownership) </w:t>
            </w:r>
            <w:r>
              <w:rPr>
                <w:rFonts w:ascii="Arial;sans-serif" w:hAnsi="Arial;sans-serif"/>
                <w:b w:val="false"/>
                <w:color w:val="000000"/>
                <w:sz w:val="12"/>
              </w:rPr>
              <w:t>(2)(8)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9,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Santa Monica Business Park </w:t>
            </w:r>
            <w:r>
              <w:rPr>
                <w:rFonts w:ascii="Arial;sans-serif" w:hAnsi="Arial;sans-serif"/>
                <w:b w:val="false"/>
                <w:color w:val="000000"/>
                <w:sz w:val="12"/>
              </w:rPr>
              <w:t>(2)(9)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8,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90 Broadway, 325 Main Street, 355 Main Street, and Cambridge East Garage (also known as Kendall Center Green Garage) </w:t>
            </w:r>
            <w:r>
              <w:rPr>
                <w:rFonts w:ascii="Arial;sans-serif" w:hAnsi="Arial;sans-serif"/>
                <w:b w:val="false"/>
                <w:color w:val="000000"/>
                <w:sz w:val="12"/>
              </w:rPr>
              <w:t>(2)(10)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26,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901 New York Avenue </w:t>
            </w:r>
            <w:r>
              <w:rPr>
                <w:rFonts w:ascii="Arial;sans-serif" w:hAnsi="Arial;sans-serif"/>
                <w:b w:val="false"/>
                <w:color w:val="000000"/>
                <w:sz w:val="12"/>
              </w:rPr>
              <w:t>(11)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601 Lexington Avenue (55% ownership) </w:t>
            </w:r>
            <w:r>
              <w:rPr>
                <w:rFonts w:ascii="Arial;sans-serif" w:hAnsi="Arial;sans-serif"/>
                <w:b w:val="false"/>
                <w:color w:val="000000"/>
                <w:sz w:val="12"/>
              </w:rPr>
              <w:t>(2)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9,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4,296,994 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4,301,191 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Deferred financing costs and fair value adjustments, net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4,277,710 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Debt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15,614,009 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15,671,692 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(1)For the unsecured senior notes, the GAAP rate represents the yield on issuance date including the effects of discounts on the notes, settlements of interest rate contracts and the amortization of financing costs. For all other debt, the GAAP interest rate differs from the stated interest rate due to the inclusion of the amortization of financing charges, the effects of hedging transactions (if any and excluding capped calls classified as equity) and adjustments required under ASC 805 “Business Combinations” to reflect loans and swaps at their fair values (if any).</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(2)No principal amounts are due prior to maturity.</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(3)These unsecured senior notes were repaid at maturity, see Note 6 to the Consolidated Financial Statements.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(4)At March 31, 2026, the weighted average interest rate of the commercial paper notes outstanding was approximately 4.10% per annum, and they had a weighted-average maturity of 40 days from the date of issuance. At May 1, 2026, BPLP had an aggregate of $750.0 million of commercial paper notes outstanding that bore interest at a weighted-average rate of approximately 4.12% per annum and had a weighted-average maturity of 42 days, from the date of issuance.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(5)The unsecured line of credit bears interest at a variable rate of SOFR+0.85% per annum. The 2025 Credit Facility is used as a backstop for the $750.0 million Commercial Paper Program. As such, BPLP intends to maintain, at a minimum, availability under the unsecured line of credit in an amount equal to the amount of unsecured commercial paper notes outstanding. The table below provides the principal indebtedness outstanding and remaining capacity under the unsecured line of credit at March 31, 2026 and May 1, 2026 (dollars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left"/>
        <w:tblInd w:w="0" w:type="dxa"/>
        <w:tblLayout w:type="fixed"/>
        <w:tblCellMar>
          <w:top w:w="28" w:type="dxa"/>
          <w:left w:w="28" w:type="dxa"/>
          <w:bottom w:w="28" w:type="dxa"/>
          <w:right w:w="28" w:type="dxa"/>
        </w:tblCellMar>
      </w:tblPr>
      <w:tblGrid>
        <w:gridCol w:w="707"/>
        <w:gridCol w:w="606"/>
        <w:gridCol w:w="610"/>
        <w:gridCol w:w="109"/>
        <w:gridCol w:w="109"/>
        <w:gridCol w:w="109"/>
        <w:gridCol w:w="196"/>
        <w:gridCol w:w="871"/>
        <w:gridCol w:w="109"/>
        <w:gridCol w:w="109"/>
        <w:gridCol w:w="109"/>
        <w:gridCol w:w="109"/>
        <w:gridCol w:w="314"/>
        <w:gridCol w:w="651"/>
        <w:gridCol w:w="175"/>
        <w:gridCol w:w="109"/>
        <w:gridCol w:w="109"/>
        <w:gridCol w:w="109"/>
        <w:gridCol w:w="261"/>
        <w:gridCol w:w="1163"/>
        <w:gridCol w:w="145"/>
        <w:gridCol w:w="109"/>
        <w:gridCol w:w="109"/>
        <w:gridCol w:w="109"/>
        <w:gridCol w:w="314"/>
        <w:gridCol w:w="651"/>
        <w:gridCol w:w="175"/>
        <w:gridCol w:w="109"/>
        <w:gridCol w:w="109"/>
        <w:gridCol w:w="109"/>
        <w:gridCol w:w="259"/>
        <w:gridCol w:w="1153"/>
        <w:gridCol w:w="210"/>
      </w:tblGrid>
      <w:tr>
        <w:trPr/>
        <w:tc>
          <w:tcPr>
            <w:tcW w:w="7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May 1, 2026</w:t>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Remaining Capacity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Remaining Capacity </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Unsecured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2,250,000 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2,250,000 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Unsecured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750,000 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Remaining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1,494,747 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1,498,747 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(6)The 2024 Unsecured Term Loan bears interest at a variable rate of SOFR+1.05% per annum. BPLP entered into an interest rate swap contract to fix SOFR at a weighted-average fixed interest rate of 3.6775% per annum for the period commencing on April 7, 2025 and ending on April 6, 2026. We did not purchase a new interest rate swap contract. Stated interest rate reflects the weighted-average fixed interest rate based on the interest rate swap contracts plus 1.05% per annum. The 2024 Unsecured Term Loan has two one-year extension options, subject to certain conditions.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(7)The Unsecured Term Loan Facility bears interest at a variable rate of SOFR+0.95% per annum and has two, six-month extension options, each subject to customary conditions.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(8)In connection with the refinancing of the loan, we guaranteed the consolidated entity’s obligation to fund various reserves for tenant improvement costs and allowances, leasing commissions and free rent obligations in lieu of cash deposits. As of March 31, 2026, the maximum funding obligation under the guarantee was approximately $6.4 million. We earn a fee from the joint venture for providing the guarantee and have an agreement with our partners to reimburse the joint venture for their share of any payments made under the guarantee.</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(9)The mortgage loan bears interest at a variable rate of Daily Simple SOFR+1.60% per annum. BPLP entered into an interest rate swap contract to fix Daily Simple SOFR at a weighted-average fixed interest rate of 3.6775% per annum for the period commencing on April 7, 2025 and ending on April 6, 2026. We did not purchase a new interest rate swap contract. Stated interest rate reflects the weighted-average fixed interest rate based on the interest rate swap contracts plus 1.60% per annum.</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(10)The mortgage loan bears interest at a variable rate of Daily Compounded SOFR+2.25% per annum. BPLP entered into three interest rate swap contracts with notional amounts aggregating $600.0 million to fix Daily Compounded SOFR at a weighted-average fixed interest rate of 3.7925% for the period commencing on December 15, 2023 and ending on October 26, 2028. The stated interest rate reflects the weighted average fixed interest rate based on the interest rate swap contracts plus 2.25% per annum.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(11)The loan has a one-year extension option remaining, subject to certain conditions.</w:t>
      </w:r>
    </w:p>
    <w:p>
      <w:pPr>
        <w:pStyle w:val="TextBody"/>
        <w:bidi w:val="0"/>
        <w:spacing w:lineRule="auto" w:line="288" w:before="300" w:after="283"/>
        <w:ind w:left="0" w:right="0" w:firstLine="225"/>
        <w:jc w:val="left"/>
        <w:rPr>
          <w:rFonts w:ascii="Arial;sans-serif" w:hAnsi="Arial;sans-serif"/>
          <w:b w:val="false"/>
          <w:color w:val="000000"/>
          <w:sz w:val="20"/>
        </w:rPr>
      </w:pPr>
      <w:r>
        <w:rPr>
          <w:rFonts w:ascii="Arial;sans-serif" w:hAnsi="Arial;sans-serif"/>
          <w:b w:val="false"/>
          <w:color w:val="000000"/>
          <w:sz w:val="20"/>
        </w:rPr>
        <w:t>The following table lists our mortgage notes, net outstanding and our partners’ share, based on their respective ownership percentage, from our consolidated joint ventures as of March 31, 2026 (dollars in thousands).</w:t>
      </w:r>
    </w:p>
    <w:tbl>
      <w:tblPr>
        <w:tblW w:w="10205" w:type="dxa"/>
        <w:jc w:val="left"/>
        <w:tblInd w:w="0" w:type="dxa"/>
        <w:tblLayout w:type="fixed"/>
        <w:tblCellMar>
          <w:top w:w="28" w:type="dxa"/>
          <w:left w:w="28" w:type="dxa"/>
          <w:bottom w:w="28" w:type="dxa"/>
          <w:right w:w="28" w:type="dxa"/>
        </w:tblCellMar>
      </w:tblPr>
      <w:tblGrid>
        <w:gridCol w:w="2459"/>
        <w:gridCol w:w="2156"/>
        <w:gridCol w:w="2172"/>
        <w:gridCol w:w="109"/>
        <w:gridCol w:w="109"/>
        <w:gridCol w:w="109"/>
        <w:gridCol w:w="211"/>
        <w:gridCol w:w="976"/>
        <w:gridCol w:w="109"/>
        <w:gridCol w:w="109"/>
        <w:gridCol w:w="109"/>
        <w:gridCol w:w="109"/>
        <w:gridCol w:w="230"/>
        <w:gridCol w:w="1067"/>
        <w:gridCol w:w="171"/>
      </w:tblGrid>
      <w:tr>
        <w:trPr/>
        <w:tc>
          <w:tcPr>
            <w:tcW w:w="245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Amount</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Partners</w:t>
            </w:r>
            <w:r>
              <w:rPr>
                <w:color w:val="000000"/>
              </w:rPr>
              <w:t xml:space="preserve">’ </w:t>
            </w:r>
            <w:r>
              <w:rPr>
                <w:rFonts w:ascii="Arial;sans-serif" w:hAnsi="Arial;sans-serif"/>
                <w:b/>
                <w:color w:val="000000"/>
                <w:sz w:val="18"/>
              </w:rPr>
              <w:t>Share</w:t>
            </w:r>
          </w:p>
        </w:tc>
      </w:tr>
      <w:tr>
        <w:trPr/>
        <w:tc>
          <w:tcPr>
            <w:tcW w:w="6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Wholly-owned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901 New York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N/A</w:t>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Santa Monica Business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N/A</w:t>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 Broadway, 325 Main Street, 355 Main Street, and Cambridge East Garage (also known as Kendall Center Green Garage)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767 Fifth Avenue (the General Motors Building) (60% ownership)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918,361 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601 Lexington Avenue (55%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446,497 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1,364,858 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1,364,858 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partners’ share of the carrying amount has been adjusted for basis differentials.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420" w:after="283"/>
        <w:ind w:left="0" w:right="0" w:firstLine="450"/>
        <w:jc w:val="left"/>
        <w:rPr>
          <w:rFonts w:ascii="Arial;sans-serif" w:hAnsi="Arial;sans-serif"/>
          <w:b w:val="false"/>
          <w:color w:val="000000"/>
          <w:sz w:val="20"/>
        </w:rPr>
      </w:pPr>
      <w:r>
        <w:rPr>
          <w:rFonts w:ascii="Arial;sans-serif" w:hAnsi="Arial;sans-serif"/>
          <w:b w:val="false"/>
          <w:color w:val="000000"/>
          <w:sz w:val="20"/>
        </w:rPr>
        <w:t>The table below provides the debt statistics of our outstanding consolidated indebtedness at March 31, 2026 and March 31, 2025.  </w:t>
      </w:r>
    </w:p>
    <w:tbl>
      <w:tblPr>
        <w:tblW w:w="10721" w:type="dxa"/>
        <w:jc w:val="left"/>
        <w:tblInd w:w="0" w:type="dxa"/>
        <w:tblLayout w:type="fixed"/>
        <w:tblCellMar>
          <w:top w:w="28" w:type="dxa"/>
          <w:left w:w="28" w:type="dxa"/>
          <w:bottom w:w="28" w:type="dxa"/>
          <w:right w:w="28" w:type="dxa"/>
        </w:tblCellMar>
      </w:tblPr>
      <w:tblGrid>
        <w:gridCol w:w="668"/>
        <w:gridCol w:w="298"/>
        <w:gridCol w:w="250"/>
        <w:gridCol w:w="376"/>
        <w:gridCol w:w="345"/>
        <w:gridCol w:w="301"/>
        <w:gridCol w:w="109"/>
        <w:gridCol w:w="109"/>
        <w:gridCol w:w="109"/>
        <w:gridCol w:w="283"/>
        <w:gridCol w:w="228"/>
        <w:gridCol w:w="401"/>
        <w:gridCol w:w="109"/>
        <w:gridCol w:w="109"/>
        <w:gridCol w:w="109"/>
        <w:gridCol w:w="306"/>
        <w:gridCol w:w="205"/>
        <w:gridCol w:w="351"/>
        <w:gridCol w:w="109"/>
        <w:gridCol w:w="109"/>
        <w:gridCol w:w="109"/>
        <w:gridCol w:w="270"/>
        <w:gridCol w:w="270"/>
        <w:gridCol w:w="271"/>
        <w:gridCol w:w="109"/>
        <w:gridCol w:w="109"/>
        <w:gridCol w:w="109"/>
        <w:gridCol w:w="362"/>
        <w:gridCol w:w="359"/>
        <w:gridCol w:w="292"/>
        <w:gridCol w:w="109"/>
        <w:gridCol w:w="109"/>
        <w:gridCol w:w="109"/>
        <w:gridCol w:w="270"/>
        <w:gridCol w:w="241"/>
        <w:gridCol w:w="367"/>
        <w:gridCol w:w="109"/>
        <w:gridCol w:w="109"/>
        <w:gridCol w:w="109"/>
        <w:gridCol w:w="306"/>
        <w:gridCol w:w="205"/>
        <w:gridCol w:w="351"/>
        <w:gridCol w:w="109"/>
        <w:gridCol w:w="109"/>
        <w:gridCol w:w="109"/>
        <w:gridCol w:w="250"/>
        <w:gridCol w:w="250"/>
        <w:gridCol w:w="356"/>
      </w:tblGrid>
      <w:tr>
        <w:trPr/>
        <w:tc>
          <w:tcPr>
            <w:tcW w:w="6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 of 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Stated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GAAP Rates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Stated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GAAP Rates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(years)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Floating Rate Debt </w:t>
            </w:r>
            <w:r>
              <w:rPr>
                <w:rFonts w:ascii="Arial;sans-serif" w:hAnsi="Arial;sans-serif"/>
                <w:b w:val="false"/>
                <w:color w:val="000000"/>
                <w:sz w:val="12"/>
              </w:rPr>
              <w:t>(2)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Fixed Rate Debt </w:t>
            </w:r>
            <w:r>
              <w:rPr>
                <w:rFonts w:ascii="Arial;sans-serif" w:hAnsi="Arial;sans-serif"/>
                <w:b w:val="false"/>
                <w:color w:val="000000"/>
                <w:sz w:val="12"/>
              </w:rPr>
              <w:t>(3)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Debt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Debt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Debt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Debt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GAAP interest rate differs from the stated interest rate due to the inclusion of the amortization of financing charges, the effects of hedging transactions (if any and excluding capped calls classified as equity) and adjustments required under ASC 805 “Business Combinations” to reflect loans and swaps at their fair values (if any).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unsecured commercial paper notes are included in our floating rate debt statistics. At March 31, 2026, the unsecured commercial paper notes outstanding bore a weighted-average interest rate of approximately 4.10% per annum and had a weighted-average maturity of 40 days from the date of issuance.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Fixed Rate Debt includes the effects of hedging transactions.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Derivative Instruments and Hedging Activities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March 31, 2026, we had $900.0 million of interest rate swaps outstanding, where hedge accounting was elected, with a fair value of approximately $(3.8) million, see Note 7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Investment in Unconsolidated Joint Ventures - Secured Debt</w:t>
      </w:r>
    </w:p>
    <w:p>
      <w:pPr>
        <w:pStyle w:val="TextBody"/>
        <w:bidi w:val="0"/>
        <w:spacing w:lineRule="auto" w:line="288" w:before="100" w:after="283"/>
        <w:ind w:left="0" w:right="0" w:firstLine="495"/>
        <w:jc w:val="left"/>
        <w:rPr/>
      </w:pPr>
      <w:r>
        <w:rPr>
          <w:rFonts w:ascii="Arial;sans-serif" w:hAnsi="Arial;sans-serif"/>
          <w:b w:val="false"/>
          <w:color w:val="000000"/>
          <w:sz w:val="20"/>
        </w:rPr>
        <w:t>We have investments in unconsolidated joint ventures with our effective ownership interests ranging from approximately 19% to approximately 71%. Thirteen of these ventures have mortgage indebtedness. We exercise significant influence over, but do not control, these entities. As a result, we account for them using the equity method of accounting. See also Note 5 to the Consolidated Financial Statements. At March 31, 2026, the aggregate carrying amount of debt, including both our and our partners’ share, incurred by these ventures was approximately $2.7 billion (of which our proportionate share is approximately $1.1 billion). The table below summarizes the outstanding debt of these joint venture properties at March 31, 2026.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r>
        <w:rPr>
          <w:color w:val="000000"/>
        </w:rPr>
        <w:t> </w:t>
      </w:r>
    </w:p>
    <w:tbl>
      <w:tblPr>
        <w:tblW w:w="14904" w:type="dxa"/>
        <w:jc w:val="left"/>
        <w:tblInd w:w="0" w:type="dxa"/>
        <w:tblLayout w:type="fixed"/>
        <w:tblCellMar>
          <w:top w:w="28" w:type="dxa"/>
          <w:left w:w="28" w:type="dxa"/>
          <w:bottom w:w="28" w:type="dxa"/>
          <w:right w:w="28" w:type="dxa"/>
        </w:tblCellMar>
      </w:tblPr>
      <w:tblGrid>
        <w:gridCol w:w="622"/>
        <w:gridCol w:w="296"/>
        <w:gridCol w:w="298"/>
        <w:gridCol w:w="109"/>
        <w:gridCol w:w="109"/>
        <w:gridCol w:w="109"/>
        <w:gridCol w:w="355"/>
        <w:gridCol w:w="261"/>
        <w:gridCol w:w="649"/>
        <w:gridCol w:w="109"/>
        <w:gridCol w:w="109"/>
        <w:gridCol w:w="109"/>
        <w:gridCol w:w="370"/>
        <w:gridCol w:w="246"/>
        <w:gridCol w:w="392"/>
        <w:gridCol w:w="109"/>
        <w:gridCol w:w="109"/>
        <w:gridCol w:w="109"/>
        <w:gridCol w:w="420"/>
        <w:gridCol w:w="196"/>
        <w:gridCol w:w="392"/>
        <w:gridCol w:w="109"/>
        <w:gridCol w:w="109"/>
        <w:gridCol w:w="109"/>
        <w:gridCol w:w="265"/>
        <w:gridCol w:w="265"/>
        <w:gridCol w:w="266"/>
        <w:gridCol w:w="109"/>
        <w:gridCol w:w="109"/>
        <w:gridCol w:w="109"/>
        <w:gridCol w:w="211"/>
        <w:gridCol w:w="976"/>
        <w:gridCol w:w="109"/>
        <w:gridCol w:w="109"/>
        <w:gridCol w:w="109"/>
        <w:gridCol w:w="109"/>
        <w:gridCol w:w="109"/>
        <w:gridCol w:w="211"/>
        <w:gridCol w:w="736"/>
        <w:gridCol w:w="109"/>
        <w:gridCol w:w="109"/>
        <w:gridCol w:w="109"/>
        <w:gridCol w:w="109"/>
        <w:gridCol w:w="211"/>
        <w:gridCol w:w="976"/>
        <w:gridCol w:w="109"/>
        <w:gridCol w:w="109"/>
        <w:gridCol w:w="109"/>
        <w:gridCol w:w="109"/>
        <w:gridCol w:w="211"/>
        <w:gridCol w:w="976"/>
        <w:gridCol w:w="109"/>
        <w:gridCol w:w="109"/>
        <w:gridCol w:w="109"/>
        <w:gridCol w:w="109"/>
        <w:gridCol w:w="109"/>
        <w:gridCol w:w="109"/>
        <w:gridCol w:w="109"/>
        <w:gridCol w:w="109"/>
        <w:gridCol w:w="109"/>
        <w:gridCol w:w="109"/>
        <w:gridCol w:w="396"/>
        <w:gridCol w:w="235"/>
        <w:gridCol w:w="330"/>
      </w:tblGrid>
      <w:tr>
        <w:trPr/>
        <w:tc>
          <w:tcPr>
            <w:tcW w:w="6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Nominal % 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of Variable Rate +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Principal 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Deferred Financing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 (Our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0" w:type="dxa"/>
            <w:gridSpan w:val="55"/>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(dollars in thousands)</w:t>
            </w:r>
          </w:p>
        </w:tc>
        <w:tc>
          <w:tcPr>
            <w:tcW w:w="961"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71.11 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December 13, 2027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January 1, 2032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August 9, 2027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Hub on Causeway - Podium &amp; 100 Causeway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April 9, 2031</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Hub50House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June 17, 2032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September 1, 2026</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Street, NW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5, 2026</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November 24, 2028</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Hudson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November 9, 2027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Hudson Boulevard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November 9, 2027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Skymark - Reston Next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May 13, 2026</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17 Hartwell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July 10, 2030</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290 Coles Street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5, 2029</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(1)The GAAP interest rate differs from the stated interest rate due to the inclusion of the amortization of financing costs, which includes mortgage recording fees, the effects of hedging transactions (if any) and adjustments required under ASC 805 “Business Combinations” to reflect loans at their fair values (if any).</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(2)The loan requires interest only payments with a balloon payment due at maturity.</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(3)The loan includes certain extension options, subject to certain conditions.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(4)The joint venture entered into an interest rate cap agreement to cap Term SOFR rate at 5.00% per annum on a notional amount of $220.0 million through January 15,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(5)The joint venture entered into interest rate swap contracts with notional amounts aggregating $185.0 million through April 10, 2032, resulting in a fixed rate of approximately 4.432% per annum through the expiration of the interest rate swap contracts.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(6)The loan bears interest at a variable rate equal to the greater of (x) 2.35% or (y) SOFR plus 2.32% per annum. The joint venture entered into an interest rate cap agreement with a financial institution to limit its exposure to increases in the SOFR rate at a cap of 2.50% per annum on a notional amount of $250.0 million through September 1, 2026.</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(7)The indebtedness consists of (x) a $70.0 million mortgage loan payable (Note A) which bears interest at a fixed rate of 6.23% per annum, and (y) a $35.0 million mortgage loan payable (Note B) which bears interest at a fixed rate of 8.03% per annum. We provided $10.5 million of the Note B mortgage financing to the joint venture. Our portion of the loan is reflected as Related Party Notes Receivable, Net on our Consolidated Balance Sheets.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(8)The joint venture entered into interest rate swap contracts with notional amounts aggregating $600.0 million through June 2028, resulting in a fixed rate of approximately 4.34% per annum through the expiration of the interest rate swap contracts.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(9)The indebtedness consists of (x) a $108.0 million senior loan with a third-party lender and (y) a mezzanine loan provided by us with a maximum commitment of $50.0 million. As of March 31, 2026, we have funded approximately $21.5 million of the mezzanine loan. The loan is reflected as Related Party Notes Receivable, Net on our Consolidated Balance Sheets.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(10)The joint venture entered into an interest rate cap agreement with a financial institution to limit its exposure to increases in the Term SOFR rate to a cap of 6.00% per annum on a notional amount of $108.0 million through November 9, 2027.</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(11)The construction financing has a borrowing capacity of $140.0 million.</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(12)No amounts have been drawn under the $98.7 million construction loan.</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(13)No amounts have been drawn under the $225.0 million construction loan. </w:t>
      </w:r>
    </w:p>
    <w:p>
      <w:pPr>
        <w:pStyle w:val="TextBody"/>
        <w:bidi w:val="0"/>
        <w:spacing w:before="40" w:after="283"/>
        <w:ind w:left="0" w:right="0" w:firstLine="495"/>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State and Local Tax Matters </w:t>
      </w:r>
    </w:p>
    <w:p>
      <w:pPr>
        <w:pStyle w:val="TextBody"/>
        <w:bidi w:val="0"/>
        <w:spacing w:lineRule="auto" w:line="288" w:before="100" w:after="283"/>
        <w:ind w:left="0" w:right="0" w:firstLine="495"/>
        <w:jc w:val="left"/>
        <w:rPr/>
      </w:pPr>
      <w:r>
        <w:rPr>
          <w:rFonts w:ascii="Arial;sans-serif" w:hAnsi="Arial;sans-serif"/>
          <w:b w:val="false"/>
          <w:color w:val="000000"/>
          <w:sz w:val="20"/>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Funds from Operations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Pursuant to the revised definition of FFO adopted by the Board of Governors of the National Association of Real Estate Investment Trusts (“Nareit”), we calculate FFO for each of BXP and BPLP by adjusting net income attributable to BXP, Inc. and net income attributable to Boston Properties Limited Partnership (computed in accordance with GAAP), respectively,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a useful measure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BXP, Inc. and net income attributable to Boston Properties Limited Partnership as presented in our Consolidated Financial Statements. FFO should not be considered as a substitute for net income attributable to BXP, Inc. or net income attributable to Boston Properties Limited Partnership (determined in accordance with GAAP) or any other GAAP financial measures and should only be considered together with and as a supplement to our financial information prepared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attributable to BXP, Inc. to FFO attributable to BXP, Inc.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390"/>
        <w:gridCol w:w="1920"/>
        <w:gridCol w:w="1925"/>
        <w:gridCol w:w="109"/>
        <w:gridCol w:w="109"/>
        <w:gridCol w:w="109"/>
        <w:gridCol w:w="211"/>
        <w:gridCol w:w="826"/>
        <w:gridCol w:w="271"/>
        <w:gridCol w:w="109"/>
        <w:gridCol w:w="109"/>
        <w:gridCol w:w="109"/>
        <w:gridCol w:w="211"/>
        <w:gridCol w:w="826"/>
        <w:gridCol w:w="271"/>
        <w:gridCol w:w="109"/>
        <w:gridCol w:w="109"/>
        <w:gridCol w:w="109"/>
        <w:gridCol w:w="109"/>
        <w:gridCol w:w="109"/>
        <w:gridCol w:w="155"/>
      </w:tblGrid>
      <w:tr>
        <w:trPr/>
        <w:tc>
          <w:tcPr>
            <w:tcW w:w="239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0" w:type="dxa"/>
            <w:gridSpan w:val="6"/>
            <w:tcBorders/>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Non-real estate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on sale / consolidation included within income (loss) from unconsolidated joint ventures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(FFO) attributable to the Operating Partnership common unitholders (including BXP,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289,513 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Our percentage share of Funds from Operations—basic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158,555 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158,202 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present a reconciliation of net income attributable to BXP, Inc. to Diluted FFO attributable to BXP, Inc. for income (numerator) and shares/units (denominator)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467"/>
        <w:gridCol w:w="2003"/>
        <w:gridCol w:w="2008"/>
        <w:gridCol w:w="109"/>
        <w:gridCol w:w="109"/>
        <w:gridCol w:w="109"/>
        <w:gridCol w:w="217"/>
        <w:gridCol w:w="851"/>
        <w:gridCol w:w="112"/>
        <w:gridCol w:w="112"/>
        <w:gridCol w:w="112"/>
        <w:gridCol w:w="112"/>
        <w:gridCol w:w="217"/>
        <w:gridCol w:w="851"/>
        <w:gridCol w:w="112"/>
        <w:gridCol w:w="109"/>
        <w:gridCol w:w="109"/>
        <w:gridCol w:w="109"/>
        <w:gridCol w:w="109"/>
        <w:gridCol w:w="109"/>
        <w:gridCol w:w="159"/>
      </w:tblGrid>
      <w:tr>
        <w:trPr/>
        <w:tc>
          <w:tcPr>
            <w:tcW w:w="2467"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4" w:type="dxa"/>
            <w:gridSpan w:val="6"/>
            <w:tcBorders/>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Non-real estate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on sale / consolidation included within income (loss) from unconsolidated joint ventures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360"/>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(FFO) attributable to the Operating Partnership common unitholders (including BXP,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289,513 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289,513 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diluted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8"/>
              </w:rPr>
              <w:t>Diluted FFO attributable to BXP, Inc.</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252,292 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260,678 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BXP’s share of diluted Funds from Operations was 89.95% and 90.04% for the three months ended March 31, 2026 and 2025, respectively.</w:t>
      </w:r>
    </w:p>
    <w:tbl>
      <w:tblPr>
        <w:tblW w:w="10205" w:type="dxa"/>
        <w:jc w:val="left"/>
        <w:tblInd w:w="0" w:type="dxa"/>
        <w:tblLayout w:type="fixed"/>
        <w:tblCellMar>
          <w:top w:w="28" w:type="dxa"/>
          <w:left w:w="28" w:type="dxa"/>
          <w:bottom w:w="28" w:type="dxa"/>
          <w:right w:w="28" w:type="dxa"/>
        </w:tblCellMar>
      </w:tblPr>
      <w:tblGrid>
        <w:gridCol w:w="2331"/>
        <w:gridCol w:w="1954"/>
        <w:gridCol w:w="1958"/>
        <w:gridCol w:w="109"/>
        <w:gridCol w:w="109"/>
        <w:gridCol w:w="109"/>
        <w:gridCol w:w="604"/>
        <w:gridCol w:w="275"/>
        <w:gridCol w:w="235"/>
        <w:gridCol w:w="235"/>
        <w:gridCol w:w="235"/>
        <w:gridCol w:w="235"/>
        <w:gridCol w:w="604"/>
        <w:gridCol w:w="275"/>
        <w:gridCol w:w="235"/>
        <w:gridCol w:w="109"/>
        <w:gridCol w:w="109"/>
        <w:gridCol w:w="109"/>
        <w:gridCol w:w="109"/>
        <w:gridCol w:w="109"/>
        <w:gridCol w:w="157"/>
      </w:tblGrid>
      <w:tr>
        <w:trPr/>
        <w:tc>
          <w:tcPr>
            <w:tcW w:w="233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shares/units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176,318 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175,752 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176,819 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176,182 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450"/>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diluted 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8"/>
              </w:rPr>
              <w:t xml:space="preserve">Diluted Funds from Operations attributable to BXP, Inc.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159,056 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158,632 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BXP’s share of diluted Funds from Operations was 89.95% and 90.04%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280" w:after="100"/>
        <w:jc w:val="left"/>
        <w:rPr>
          <w:rFonts w:ascii="Arial;sans-serif" w:hAnsi="Arial;sans-serif"/>
          <w:b/>
          <w:color w:val="0869AD"/>
          <w:sz w:val="20"/>
        </w:rPr>
      </w:pPr>
      <w:r>
        <w:rPr>
          <w:rFonts w:ascii="Arial;sans-serif" w:hAnsi="Arial;sans-serif"/>
          <w:b/>
          <w:color w:val="0869AD"/>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attributable to Boston Properties Limited Partnership to FFO attributable to Boston Properties Limited Partnership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405"/>
        <w:gridCol w:w="2021"/>
        <w:gridCol w:w="2033"/>
        <w:gridCol w:w="109"/>
        <w:gridCol w:w="109"/>
        <w:gridCol w:w="109"/>
        <w:gridCol w:w="218"/>
        <w:gridCol w:w="857"/>
        <w:gridCol w:w="112"/>
        <w:gridCol w:w="112"/>
        <w:gridCol w:w="112"/>
        <w:gridCol w:w="112"/>
        <w:gridCol w:w="218"/>
        <w:gridCol w:w="857"/>
        <w:gridCol w:w="112"/>
        <w:gridCol w:w="109"/>
        <w:gridCol w:w="109"/>
        <w:gridCol w:w="109"/>
        <w:gridCol w:w="109"/>
        <w:gridCol w:w="109"/>
        <w:gridCol w:w="164"/>
      </w:tblGrid>
      <w:tr>
        <w:trPr/>
        <w:tc>
          <w:tcPr>
            <w:tcW w:w="240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6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9" w:type="dxa"/>
            <w:gridSpan w:val="6"/>
            <w:tcBorders/>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Boston Properties Limited Partnership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Non-real estate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on sale / consolidation included within income (loss) from unconsolidated joint ventures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8"/>
              </w:rPr>
              <w:t>Funds from Operations attributable to Boston Properties Limited Partnership</w:t>
            </w:r>
            <w:r>
              <w:rPr>
                <w:color w:val="000000"/>
              </w:rPr>
              <w:t xml:space="preserve">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289,513 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176,318 </w:t>
            </w:r>
          </w:p>
        </w:tc>
        <w:tc>
          <w:tcPr>
            <w:tcW w:w="112"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175,752 </w:t>
            </w:r>
          </w:p>
        </w:tc>
        <w:tc>
          <w:tcPr>
            <w:tcW w:w="112"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Our calculation includes OP Units and vested LTIP Units (including vested 2012 OPP Units and vested 2013 - 2023 MYLTIP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present a reconciliation of net income attributable to Boston Properties Limited Partnership to Diluted FFO attributable to Boston Properties Limited Partnership for income (numerator) and shares/units (denominator)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405"/>
        <w:gridCol w:w="2021"/>
        <w:gridCol w:w="2033"/>
        <w:gridCol w:w="109"/>
        <w:gridCol w:w="109"/>
        <w:gridCol w:w="109"/>
        <w:gridCol w:w="218"/>
        <w:gridCol w:w="857"/>
        <w:gridCol w:w="112"/>
        <w:gridCol w:w="112"/>
        <w:gridCol w:w="112"/>
        <w:gridCol w:w="112"/>
        <w:gridCol w:w="218"/>
        <w:gridCol w:w="857"/>
        <w:gridCol w:w="112"/>
        <w:gridCol w:w="109"/>
        <w:gridCol w:w="109"/>
        <w:gridCol w:w="109"/>
        <w:gridCol w:w="109"/>
        <w:gridCol w:w="109"/>
        <w:gridCol w:w="164"/>
      </w:tblGrid>
      <w:tr>
        <w:trPr/>
        <w:tc>
          <w:tcPr>
            <w:tcW w:w="240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6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9" w:type="dxa"/>
            <w:gridSpan w:val="6"/>
            <w:tcBorders/>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Boston Properties Limited Partnership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Non-real estate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on sale / consolidation included within income (loss) from unconsolidated joint ventures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8"/>
              </w:rPr>
              <w:t>Funds from Operations attributable to Boston Properties Limited Partnership</w:t>
            </w:r>
            <w:r>
              <w:rPr>
                <w:color w:val="000000"/>
              </w:rPr>
              <w:t xml:space="preserve">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289,513 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Funds from Operations attributable to Boston Properties Limited Partnership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280,480 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289,513 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Our calculation includes OP Units and vested LTIP Units (including vested 2012 OPP Units and vested 2013 - 2023 MYLTIP Units).</w:t>
      </w:r>
    </w:p>
    <w:tbl>
      <w:tblPr>
        <w:tblW w:w="7023" w:type="dxa"/>
        <w:jc w:val="left"/>
        <w:tblInd w:w="0" w:type="dxa"/>
        <w:tblLayout w:type="fixed"/>
        <w:tblCellMar>
          <w:top w:w="28" w:type="dxa"/>
          <w:left w:w="28" w:type="dxa"/>
          <w:bottom w:w="28" w:type="dxa"/>
          <w:right w:w="28" w:type="dxa"/>
        </w:tblCellMar>
      </w:tblPr>
      <w:tblGrid>
        <w:gridCol w:w="962"/>
        <w:gridCol w:w="845"/>
        <w:gridCol w:w="847"/>
        <w:gridCol w:w="109"/>
        <w:gridCol w:w="109"/>
        <w:gridCol w:w="109"/>
        <w:gridCol w:w="604"/>
        <w:gridCol w:w="305"/>
        <w:gridCol w:w="305"/>
        <w:gridCol w:w="305"/>
        <w:gridCol w:w="305"/>
        <w:gridCol w:w="305"/>
        <w:gridCol w:w="604"/>
        <w:gridCol w:w="305"/>
        <w:gridCol w:w="305"/>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shares/units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176,318 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175,752 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Funds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176,819 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176,182 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Material Cash Commitments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have various service contracts with vendors related to our property management. In addition, we enter into other contracts in the ordinary course of business that may extend beyond one year. These contracts include terms that provide for cancellation with insignificant or no cancellation penalties. Contract terms are generally between three and five years.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three months ended March 31, 2026, we paid approximately $105.5 million to fund tenant-related obligations, including tenant improvements and leasing commissions.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during the three months ended March 31, 2026, we and our unconsolidated joint venture partners incurred approximately $108.9 million of new tenant-related obligations associated with approximately 1.0 million square feet of second generation leases, or approximately $114 per square foot.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180" w:after="283"/>
        <w:jc w:val="left"/>
        <w:rPr/>
      </w:pPr>
      <w:r>
        <w:rPr>
          <w:rFonts w:ascii="Arial;sans-serif" w:hAnsi="Arial;sans-serif"/>
          <w:b w:val="false"/>
          <w:color w:val="000000"/>
          <w:sz w:val="20"/>
        </w:rPr>
        <w:t xml:space="preserve">March 31, 2026, we signed approximately 194,800 square feet of first generation leases. The tenant-related obligations for the development properties are included within the projects’ “Estimated Total Investment” referred to in </w:t>
      </w:r>
      <w:r>
        <w:rPr>
          <w:color w:val="000000"/>
        </w:rPr>
        <w:t>“</w:t>
      </w:r>
      <w:r>
        <w:rPr>
          <w:rFonts w:ascii="Arial;sans-serif" w:hAnsi="Arial;sans-serif"/>
          <w:b w:val="false"/>
          <w:i/>
          <w:color w:val="000000"/>
          <w:sz w:val="20"/>
        </w:rPr>
        <w:t xml:space="preserve">Item 2—Management’s Discussion and Analysis of Financial Condition and Results of Operations—Liquidity and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3—Quantitative and Qualitative Disclosures about Market Risk.</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are exposed to certain market risks, of which one of the most significant is a change in interest rates. Our future earnings, cash flows and fair values relevant to financial instruments are dependent upon prevalent market interest rates. Our primary market risk results from our indebtedness, which bears interest at fixed and variable rates. The fair values of our debt obligations are affected by changes in the market interest rates. Unless we have entered into interest rate swaps or other derivatives to fix the interest rate, increases in interest rates can result in increased interest expense under our 2025 Credit Facility, 2024 Unsecured Term Loan, Commercial Paper Program, certain mortgage loans and other debt that bears interest at variable rates. Increases in interest rates can also result in increased interest expense when our fixed rate debt matures and needs to be refinanced. We manage our market risk by matching long-term leases with long-term, fixed-rate, non-recourse debt of similar duration. We continue to follow a conservative strategy of generally pre-leasing development projects on a long-term basis to creditworthy clients in order to achieve the most favorable construction and permanent financing terms.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March 31, 2026, approximately $13.3 billion of our indebtedness bore interest at fixed rates, and therefore the fair value of these instruments is not affected by changes in the market interest rates. The remaining approximately $2.3 billion of outstanding indebtedness bore interest at variable rates, including approximately $800.0 million of unsecured term loans, $750.0 million of borrowings under the Commercial Paper Program, and approximately $800.0 million of secured debt. However, we have entered into interest rate swaps with notional amounts aggregating $800.0 million for our secured debt and $100.0 million for BPLP’s 2024 Unsecured Term Loan, thus fixing the interest rates for all or a portion of the applicable debt term (See Note 7 to the Consolidated Financial Statements for information pertaining to interest rate swap contracts). Therefore, as of March 31, 2026, we effectively had approximately $1.4 billion of variable rate debt outstanding.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presents our aggregate debt obligations carrying value, estimated fair value and where applicable, the corresponding weighted-average GAAP interest rates sorted by maturity date as of March 31, 2026. </w:t>
      </w:r>
    </w:p>
    <w:p>
      <w:pPr>
        <w:pStyle w:val="TextBody"/>
        <w:bidi w:val="0"/>
        <w:spacing w:lineRule="auto" w:line="288" w:before="180" w:after="283"/>
        <w:ind w:left="0" w:right="0" w:firstLine="495"/>
        <w:jc w:val="left"/>
        <w:rPr/>
      </w:pPr>
      <w:r>
        <w:rPr>
          <w:rFonts w:ascii="Arial;sans-serif" w:hAnsi="Arial;sans-serif"/>
          <w:b w:val="false"/>
          <w:color w:val="000000"/>
          <w:sz w:val="20"/>
        </w:rPr>
        <w:t>The table below does not include our unconsolidated joint venture debt. For a discussion concerning our unconsolidated joint venture debt, including interest rate swaps, see Note 5 to the Consolidated Financial Statements and “</w:t>
      </w:r>
      <w:r>
        <w:rPr>
          <w:rFonts w:ascii="Arial;sans-serif" w:hAnsi="Arial;sans-serif"/>
          <w:b w:val="false"/>
          <w:i/>
          <w:color w:val="000000"/>
          <w:sz w:val="20"/>
        </w:rPr>
        <w:t>Item 2</w:t>
      </w:r>
      <w:r>
        <w:rPr>
          <w:color w:val="000000"/>
        </w:rPr>
        <w:t>—</w:t>
      </w:r>
      <w:r>
        <w:rPr>
          <w:rFonts w:ascii="Arial;sans-serif" w:hAnsi="Arial;sans-serif"/>
          <w:b w:val="false"/>
          <w:i/>
          <w:color w:val="000000"/>
          <w:sz w:val="20"/>
        </w:rPr>
        <w:t>Management’s Discussion and Analysis of Financial Condition and Results of Operations</w:t>
      </w:r>
      <w:r>
        <w:rPr>
          <w:color w:val="000000"/>
        </w:rPr>
        <w:t>—</w:t>
      </w:r>
      <w:r>
        <w:rPr>
          <w:rFonts w:ascii="Arial;sans-serif" w:hAnsi="Arial;sans-serif"/>
          <w:b w:val="false"/>
          <w:i/>
          <w:color w:val="000000"/>
          <w:sz w:val="20"/>
        </w:rPr>
        <w:t>Liquidity and Capital Resources—Investment in Unconsolidated Joint Ventures — Secured Debt.</w:t>
      </w:r>
      <w:r>
        <w:rPr>
          <w:color w:val="000000"/>
        </w:rPr>
        <w:t>”</w:t>
      </w:r>
    </w:p>
    <w:tbl>
      <w:tblPr>
        <w:tblW w:w="13522" w:type="dxa"/>
        <w:jc w:val="left"/>
        <w:tblInd w:w="0" w:type="dxa"/>
        <w:tblLayout w:type="fixed"/>
        <w:tblCellMar>
          <w:top w:w="28" w:type="dxa"/>
          <w:left w:w="28" w:type="dxa"/>
          <w:bottom w:w="28" w:type="dxa"/>
          <w:right w:w="28" w:type="dxa"/>
        </w:tblCellMar>
      </w:tblPr>
      <w:tblGrid>
        <w:gridCol w:w="370"/>
        <w:gridCol w:w="167"/>
        <w:gridCol w:w="16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961"/>
        <w:gridCol w:w="256"/>
        <w:gridCol w:w="109"/>
        <w:gridCol w:w="109"/>
        <w:gridCol w:w="109"/>
        <w:gridCol w:w="196"/>
        <w:gridCol w:w="961"/>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br/>
              <w:t>Mortgage debt, net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2,301,591 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998,620 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3,484,726 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3,205,070 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GAAP Average Interest 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798,705 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795,913 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2,299,995 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802,045 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182,961 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998,620 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4,280,639 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3,994,557 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Unsecured debt, net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989,159 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736,714 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987,919 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839,543 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691,710 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5,541,016 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9,786,061 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9,327,604 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GAAP Average Interest 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849,271 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699,789 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1,547,309 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1,838,430 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735,840 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987,042 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1,539,332 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691,710 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5,541,016 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11,333,370 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10,874,050 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1,836,796 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3,035,835 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1,789,087 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1,722,293 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690,362 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6,539,636 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15,614,009 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14,868,607 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March 31, 2026, the weighted-average stated interest rate on the fixed rate debt stated above was 3.73% per annum. At March 31, 2026, our outstanding variable rate debt totaled approximately $2.3 billion, of which $900.0 million was subject to interest rate swaps. At March 31, 2026, the weighted-average stated interest rate on our variable rate debt, including the effect of the interest rate swaps, was 4.85% per annum. If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280" w:after="283"/>
        <w:jc w:val="left"/>
        <w:rPr>
          <w:rFonts w:ascii="Arial;sans-serif" w:hAnsi="Arial;sans-serif"/>
          <w:b w:val="false"/>
          <w:color w:val="000000"/>
          <w:sz w:val="20"/>
        </w:rPr>
      </w:pPr>
      <w:r>
        <w:rPr>
          <w:rFonts w:ascii="Arial;sans-serif" w:hAnsi="Arial;sans-serif"/>
          <w:b w:val="false"/>
          <w:color w:val="000000"/>
          <w:sz w:val="20"/>
        </w:rPr>
        <w:t>interest rates on our variable rate debt had been 100 basis points greater, total interest expense would have increased approximately $5.9 million for the three months ended March 31, 2026.</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use of derivative instruments also involves certain additional risks such as counterparty credit risk, the enforceability of hedging contracts and the risk that unanticipated and significant changes in interest rates will cause a significant loss of basis in the contract. We believe that there is a low likelihood that these counterparties will fail to meet their obligations and we minimize our exposure by limiting counterparties to major banks who meet established credit and capital guidelines. There can be no assurance that we will adequately protect against the foregoing risks.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4—Controls and Procedures.</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BXP, Inc.</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 Evaluation of Disclosure Controls and Procedures. As of the end of the period covered by this report, our management, with the participation of BXP,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BXP, Inc.’s Chief Executive Officer and Chief Financial Officer concluded that these disclosure controls and procedures were effective as of the end of the period covered by this Quarterly Report on Form 10-Q.</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 Changes in Internal Control Over Financial Reporting. No change in BXP, Inc.’s internal control over financial reporting (as defined in Rule 13a-15(f) under the Securities Exchange Act of 1934, as amended) occurred during the first quarter of our fiscal year ending December 31, 2026, that has materially affected, or is reasonably likely to materially affect, BXP, Inc.’s internal control over financial reporting. </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Boston Properties Limited Partnership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 Evaluation of Disclosure Controls and Procedures. As of the end of the period covered by this report, the management of BXP,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BXP, Inc. concluded that these disclosure controls and procedures were effective as of the end of the period covered by this Quarterly Report on Form 10-Q.</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 Changes in Internal Control Over Financial Reporting. No change in its internal control over financial reporting (as defined in Rule 13a-15(f) under the Securities Exchange Act of 1934, as amended) occurred during the first quarter of our fiscal year ending December 31, 2026 that has materially affected, or is reasonably likely to materially affect, its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val="false"/>
          <w:color w:val="001A33"/>
          <w:sz w:val="28"/>
        </w:rPr>
      </w:pPr>
      <w:r>
        <w:rPr>
          <w:rFonts w:ascii="Arial;sans-serif" w:hAnsi="Arial;sans-serif"/>
          <w:b w:val="false"/>
          <w:color w:val="001A33"/>
          <w:sz w:val="2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1—Legal Proceedings.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subject to legal proceedings and claims that arise in the ordinary course of business. Information regarding legal proceedings is incorporated herein by reference to Note 8 to the Consolidated Financial Statements included in Part 1,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1A—Risk Factors.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Except to the extent updated below or to the extent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2—Unregistered Sales of Equity Securities and Use of Proceeds.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BXP, Inc.</w:t>
      </w:r>
    </w:p>
    <w:p>
      <w:pPr>
        <w:pStyle w:val="TextBody"/>
        <w:bidi w:val="0"/>
        <w:spacing w:lineRule="auto" w:line="276" w:before="100" w:after="283"/>
        <w:ind w:left="0" w:right="0" w:hanging="540"/>
        <w:jc w:val="left"/>
        <w:rPr>
          <w:rFonts w:ascii="Arial;sans-serif" w:hAnsi="Arial;sans-serif"/>
          <w:b w:val="false"/>
          <w:color w:val="000000"/>
          <w:sz w:val="20"/>
        </w:rPr>
      </w:pPr>
      <w:r>
        <w:rPr>
          <w:rFonts w:ascii="Arial;sans-serif" w:hAnsi="Arial;sans-serif"/>
          <w:b w:val="false"/>
          <w:color w:val="000000"/>
          <w:sz w:val="20"/>
        </w:rPr>
        <w:t>(a)During the three months ended March 31, 2026, BXP issued an aggregate of 49,365 shares of common stock in exchange for 49,365 common units of limited partnership held by certain limited partners of BPLP. Of these shares, 37,016 shares were issued in reliance on an exemption from registration under Section 4(a)(2) of the Securities Act of 1933, as amended. BXP relied on the exemption under Section 4(a)(2) based upon factual representations received from the limited partner who received the shares of common stock.</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(b)Not Applicable.</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(c)Issuer Purchases of Equity Securities.</w:t>
      </w:r>
    </w:p>
    <w:tbl>
      <w:tblPr>
        <w:tblW w:w="10205" w:type="dxa"/>
        <w:jc w:val="left"/>
        <w:tblInd w:w="0" w:type="dxa"/>
        <w:tblLayout w:type="fixed"/>
        <w:tblCellMar>
          <w:top w:w="28" w:type="dxa"/>
          <w:left w:w="28" w:type="dxa"/>
          <w:bottom w:w="28" w:type="dxa"/>
          <w:right w:w="28" w:type="dxa"/>
        </w:tblCellMar>
      </w:tblPr>
      <w:tblGrid>
        <w:gridCol w:w="686"/>
        <w:gridCol w:w="554"/>
        <w:gridCol w:w="558"/>
        <w:gridCol w:w="585"/>
        <w:gridCol w:w="489"/>
        <w:gridCol w:w="491"/>
        <w:gridCol w:w="109"/>
        <w:gridCol w:w="109"/>
        <w:gridCol w:w="109"/>
        <w:gridCol w:w="310"/>
        <w:gridCol w:w="950"/>
        <w:gridCol w:w="160"/>
        <w:gridCol w:w="745"/>
        <w:gridCol w:w="745"/>
        <w:gridCol w:w="747"/>
        <w:gridCol w:w="834"/>
        <w:gridCol w:w="834"/>
        <w:gridCol w:w="1190"/>
      </w:tblGrid>
      <w:tr>
        <w:trPr/>
        <w:tc>
          <w:tcPr>
            <w:tcW w:w="6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Period</w:t>
            </w:r>
          </w:p>
        </w:tc>
        <w:tc>
          <w:tcPr>
            <w:tcW w:w="156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(a)</w:t>
              <w:br/>
              <w:t>Total Number of Shares of Common Stock</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(b)</w:t>
              <w:br/>
              <w:t>Average Price Paid per Common Share</w:t>
            </w:r>
          </w:p>
        </w:tc>
        <w:tc>
          <w:tcPr>
            <w:tcW w:w="2237"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(c)</w:t>
              <w:br/>
              <w:t>Total Number of Shares Purchased as Part of Publicly Announced Plans or Programs</w:t>
            </w:r>
          </w:p>
        </w:tc>
        <w:tc>
          <w:tcPr>
            <w:tcW w:w="2858"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(d)</w:t>
              <w:br/>
              <w:t>Maximum Number (or Approximate Dollar Value) of Shares that May Yet be Purchased under the Plans or Programs</w:t>
            </w:r>
          </w:p>
        </w:tc>
      </w:tr>
      <w:tr>
        <w:trPr/>
        <w:tc>
          <w:tcPr>
            <w:tcW w:w="1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January 1, 2026 – January 31, 2026</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19,957 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798"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February 1, 2026 – February 28, 2026</w:t>
            </w:r>
          </w:p>
        </w:tc>
        <w:tc>
          <w:tcPr>
            <w:tcW w:w="1074" w:type="dxa"/>
            <w:gridSpan w:val="2"/>
            <w:tcBorders/>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858"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March 1, 2026 – March 31, 2026</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85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19,957 </w:t>
            </w:r>
          </w:p>
        </w:tc>
        <w:tc>
          <w:tcPr>
            <w:tcW w:w="4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(1)Represents shares of common stock of BXP surrendered by employees to BXP to satisfy such employees’ tax withholding obligations in connection with the vesting of restricted common stock.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Boston Properties Limited Partnership</w:t>
      </w:r>
    </w:p>
    <w:p>
      <w:pPr>
        <w:pStyle w:val="TextBody"/>
        <w:bidi w:val="0"/>
        <w:spacing w:lineRule="auto" w:line="288" w:before="140" w:after="283"/>
        <w:ind w:left="0" w:right="0" w:hanging="540"/>
        <w:jc w:val="left"/>
        <w:rPr/>
      </w:pPr>
      <w:r>
        <w:rPr>
          <w:rFonts w:ascii="Arial;sans-serif" w:hAnsi="Arial;sans-serif"/>
          <w:b w:val="false"/>
          <w:color w:val="000000"/>
          <w:sz w:val="20"/>
          <w:shd w:fill="FFFFFF" w:val="clear"/>
        </w:rPr>
        <w:t>(a)</w:t>
      </w:r>
      <w:r>
        <w:rPr>
          <w:rFonts w:ascii="Arial;sans-serif" w:hAnsi="Arial;sans-serif"/>
          <w:b w:val="false"/>
          <w:color w:val="000000"/>
          <w:sz w:val="20"/>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March 31, 2026, in connection with issuances of common stock by BXP pursuant to issuances of restricted common stock to employees under the Boston Properties, Inc. 2021 Stock Incentive Plan and purchases of common stock under the Boston Properties, Inc. 1999 Employee Stock Purchase Plan, BPLP issued an aggregate of approximately 98,256 common units to BXP in exchange for approximately $0.4 million, the aggregate proceeds of such common stock issuances to BXP. Such units were issued in reliance on an exemption from registration under Section 4(a)(2) of the Securities Act of 1933, as amended.</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(b)Not Applicable.</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(c)Issuer Purchases of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tbl>
      <w:tblPr>
        <w:tblW w:w="10205" w:type="dxa"/>
        <w:jc w:val="left"/>
        <w:tblInd w:w="0" w:type="dxa"/>
        <w:tblLayout w:type="fixed"/>
        <w:tblCellMar>
          <w:top w:w="28" w:type="dxa"/>
          <w:left w:w="28" w:type="dxa"/>
          <w:bottom w:w="28" w:type="dxa"/>
          <w:right w:w="28" w:type="dxa"/>
        </w:tblCellMar>
      </w:tblPr>
      <w:tblGrid>
        <w:gridCol w:w="697"/>
        <w:gridCol w:w="564"/>
        <w:gridCol w:w="568"/>
        <w:gridCol w:w="624"/>
        <w:gridCol w:w="449"/>
        <w:gridCol w:w="450"/>
        <w:gridCol w:w="109"/>
        <w:gridCol w:w="109"/>
        <w:gridCol w:w="109"/>
        <w:gridCol w:w="276"/>
        <w:gridCol w:w="845"/>
        <w:gridCol w:w="142"/>
        <w:gridCol w:w="767"/>
        <w:gridCol w:w="767"/>
        <w:gridCol w:w="769"/>
        <w:gridCol w:w="865"/>
        <w:gridCol w:w="865"/>
        <w:gridCol w:w="1230"/>
      </w:tblGrid>
      <w:tr>
        <w:trPr/>
        <w:tc>
          <w:tcPr>
            <w:tcW w:w="69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 </w:t>
              <w:br/>
              <w:t>Total Number of Units Purchased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(b) </w:t>
              <w:br/>
              <w:t xml:space="preserve">Average Price Paid per Unit </w:t>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 </w:t>
              <w:br/>
              <w:t>Total Number of Units Purchased as Part of Publicly Announced Plans or Programs</w:t>
            </w:r>
          </w:p>
        </w:tc>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 </w:t>
              <w:br/>
              <w:t>Maximum Number (or Approximate Dollar Value) of Units that May Yet be Purchased Under the Plans or Programs</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January 1, 2026 – January 31, 2026</w:t>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19,957 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(1)</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82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February 1, 2026 – February 28, 2026</w:t>
            </w:r>
          </w:p>
        </w:tc>
        <w:tc>
          <w:tcPr>
            <w:tcW w:w="1073" w:type="dxa"/>
            <w:gridSpan w:val="2"/>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168,717 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13"/>
              </w:rPr>
            </w:pPr>
            <w:r>
              <w:rPr>
                <w:rFonts w:ascii="Arial;sans-serif" w:hAnsi="Arial;sans-serif"/>
                <w:b w:val="false"/>
                <w:color w:val="000000"/>
                <w:sz w:val="13"/>
              </w:rPr>
              <w:t>(2)</w:t>
            </w:r>
          </w:p>
        </w:tc>
        <w:tc>
          <w:tcPr>
            <w:tcW w:w="27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960"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March 1, 2026 – March 31, 2026</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96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188,674 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7.31 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(1)Represents common units previously held by BXP that were redeemed in connection with the surrender of shares of restricted common stock of BXP by employees to BXP to satisfy such employees’ tax withholding obligations in connection with the vesting of restricted common stock.</w:t>
      </w:r>
    </w:p>
    <w:p>
      <w:pPr>
        <w:pStyle w:val="TextBody"/>
        <w:bidi w:val="0"/>
        <w:spacing w:lineRule="auto" w:line="288" w:before="14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(2)Represents 2023 MYLTIP units. The measurement period for the 2023 MYLTIP units ended on February 6, 2026 and BXP’s total return to stockholders was sufficient for employees to earn and therefore become eligible to vest in a portion of the 2023 MYLTIP units. Under the terms of the applicable 2023 MYLTIP award agreements, the 168,717 unearned 2023 MYLTIP units were repurchased at a price of $0.25 per unit, which was the amount originally paid by each employee for the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3—Defaults Upon Senior Securities.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Arial;sans-serif" w:hAnsi="Arial;sans-serif"/>
          <w:b w:val="false"/>
          <w:color w:val="32A7DC"/>
          <w:sz w:val="28"/>
        </w:rPr>
        <w:t>ITEM 4—Mine Safety Disclosures</w:t>
      </w:r>
      <w:r>
        <w:rPr>
          <w:rFonts w:ascii="Arial;sans-serif" w:hAnsi="Arial;sans-serif"/>
          <w:b/>
          <w:color w:val="000000"/>
          <w:sz w:val="20"/>
        </w:rPr>
        <w:t>.</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5—Other Information.</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(a)None.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(b)None.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(c)During the three months ended March 31, 2026,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left"/>
        <w:rPr>
          <w:rFonts w:ascii="Arial;sans-serif" w:hAnsi="Arial;sans-serif"/>
          <w:b w:val="false"/>
          <w:color w:val="32A7DC"/>
          <w:sz w:val="28"/>
        </w:rPr>
      </w:pPr>
      <w:r>
        <w:rPr>
          <w:rFonts w:ascii="Arial;sans-serif" w:hAnsi="Arial;sans-serif"/>
          <w:b w:val="false"/>
          <w:color w:val="32A7DC"/>
          <w:sz w:val="28"/>
        </w:rPr>
        <w:t>ITEM 6—Exhibits.</w:t>
      </w:r>
    </w:p>
    <w:p>
      <w:pPr>
        <w:pStyle w:val="TextBody"/>
        <w:bidi w:val="0"/>
        <w:spacing w:lineRule="auto" w:line="288" w:before="100" w:after="283"/>
        <w:ind w:left="0" w:right="0" w:hanging="450"/>
        <w:jc w:val="left"/>
        <w:rPr/>
      </w:pPr>
      <w:r>
        <w:rPr>
          <w:rFonts w:ascii="Arial;sans-serif" w:hAnsi="Arial;sans-serif"/>
          <w:b w:val="false"/>
          <w:color w:val="000000"/>
          <w:sz w:val="20"/>
        </w:rPr>
        <w:t>(a)Exhibits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39"/>
        <w:gridCol w:w="300"/>
        <w:gridCol w:w="125"/>
        <w:gridCol w:w="115"/>
        <w:gridCol w:w="115"/>
        <w:gridCol w:w="116"/>
        <w:gridCol w:w="2707"/>
        <w:gridCol w:w="2639"/>
        <w:gridCol w:w="3749"/>
      </w:tblGrid>
      <w:tr>
        <w:trPr/>
        <w:tc>
          <w:tcPr>
            <w:tcW w:w="3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BXP, Inc. Non-Employee Director Compensation Plan. (Incorporated by reference to Exhibit 10.39 to the Annual Report on Form 10-K of BXP, Inc. and Boston Properties Limited Partnership filed on February 27, 2026.)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deferredcompplanrestate.htm">
              <w:r>
                <w:rPr>
                  <w:rStyle w:val="InternetLink"/>
                  <w:rFonts w:ascii="Arial;sans-serif" w:hAnsi="Arial;sans-serif"/>
                  <w:b w:val="false"/>
                  <w:color w:val="0000FF"/>
                  <w:sz w:val="20"/>
                  <w:u w:val="single"/>
                </w:rPr>
                <w:t>BXP Deferred Compensation Plan, Amended and Restated Effective as of January 1, 2026. (Filed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331ex311.htm">
              <w:r>
                <w:rPr>
                  <w:rStyle w:val="InternetLink"/>
                  <w:rFonts w:ascii="Arial;sans-serif" w:hAnsi="Arial;sans-serif"/>
                  <w:b w:val="false"/>
                  <w:color w:val="0000FF"/>
                  <w:sz w:val="20"/>
                  <w:u w:val="single"/>
                </w:rPr>
                <w:t>Certification of Chief Executive Officer pursuant to Section 302 of the Sarbanes-Oxley Act of 2002 for BXP, Inc. (Filed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331ex312.htm">
              <w:r>
                <w:rPr>
                  <w:rStyle w:val="InternetLink"/>
                  <w:rFonts w:ascii="Arial;sans-serif" w:hAnsi="Arial;sans-serif"/>
                  <w:b w:val="false"/>
                  <w:color w:val="0000FF"/>
                  <w:sz w:val="20"/>
                  <w:u w:val="single"/>
                </w:rPr>
                <w:t>Certification of Chief Financial Officer pursuant to Section 302 of the Sarbanes-Oxley Act of 2002 for BXP, Inc. (Filed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331ex313.htm">
              <w:r>
                <w:rPr>
                  <w:rStyle w:val="InternetLink"/>
                  <w:rFonts w:ascii="Arial;sans-serif" w:hAnsi="Arial;sans-serif"/>
                  <w:b w:val="false"/>
                  <w:color w:val="0000FF"/>
                  <w:sz w:val="20"/>
                  <w:u w:val="single"/>
                </w:rPr>
                <w:t>Certification of Chief Executive Officer pursuant to Section 302 of the Sarbanes-Oxley Act of 2002 for Boston Properties Limited Partnership. (Filed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331ex314.htm">
              <w:r>
                <w:rPr>
                  <w:rStyle w:val="InternetLink"/>
                  <w:rFonts w:ascii="Arial;sans-serif" w:hAnsi="Arial;sans-serif"/>
                  <w:b w:val="false"/>
                  <w:color w:val="0000FF"/>
                  <w:sz w:val="20"/>
                  <w:u w:val="single"/>
                </w:rPr>
                <w:t>Certification of Chief Financial Officer pursuant to Section 302 of the Sarbanes-Oxley Act of 2002 for Boston Properties Limited Partnership. (Filed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331ex321.htm">
              <w:r>
                <w:rPr>
                  <w:rStyle w:val="InternetLink"/>
                  <w:rFonts w:ascii="Arial;sans-serif" w:hAnsi="Arial;sans-serif"/>
                  <w:b w:val="false"/>
                  <w:color w:val="000080"/>
                  <w:sz w:val="20"/>
                  <w:u w:val="single"/>
                </w:rPr>
                <w:t>Certification of Chief Executive Officer pursuant to Section 906 of the Sarbanes</w:t>
              </w:r>
            </w:hyperlink>
            <w:hyperlink w:anchor="bxpbplp-2026331ex321.htm">
              <w:r>
                <w:rPr>
                  <w:rStyle w:val="InternetLink"/>
                  <w:rFonts w:ascii="Arial;sans-serif" w:hAnsi="Arial;sans-serif"/>
                  <w:b w:val="false"/>
                  <w:color w:val="000080"/>
                  <w:sz w:val="20"/>
                  <w:u w:val="single"/>
                </w:rPr>
                <w:t>-</w:t>
              </w:r>
            </w:hyperlink>
            <w:hyperlink w:anchor="bxpbplp-2026331ex321.htm">
              <w:r>
                <w:rPr>
                  <w:rStyle w:val="InternetLink"/>
                  <w:rFonts w:ascii="Arial;sans-serif" w:hAnsi="Arial;sans-serif"/>
                  <w:b w:val="false"/>
                  <w:color w:val="000080"/>
                  <w:sz w:val="20"/>
                  <w:u w:val="single"/>
                </w:rPr>
                <w:t>Oxley Act of 2002 for BXP, Inc. (Furnished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331ex322.htm">
              <w:r>
                <w:rPr>
                  <w:rStyle w:val="InternetLink"/>
                  <w:rFonts w:ascii="Arial;sans-serif" w:hAnsi="Arial;sans-serif"/>
                  <w:b w:val="false"/>
                  <w:color w:val="000080"/>
                  <w:sz w:val="20"/>
                  <w:u w:val="single"/>
                </w:rPr>
                <w:t>Certification of Chief Financial Officer pursuant to Section 906 of the Sarbanes</w:t>
              </w:r>
            </w:hyperlink>
            <w:hyperlink w:anchor="bxpbplp-2026331ex322.htm">
              <w:r>
                <w:rPr>
                  <w:rStyle w:val="InternetLink"/>
                  <w:rFonts w:ascii="Arial;sans-serif" w:hAnsi="Arial;sans-serif"/>
                  <w:b w:val="false"/>
                  <w:color w:val="000080"/>
                  <w:sz w:val="20"/>
                  <w:u w:val="single"/>
                </w:rPr>
                <w:t>-</w:t>
              </w:r>
            </w:hyperlink>
            <w:hyperlink w:anchor="bxpbplp-2026331ex322.htm">
              <w:r>
                <w:rPr>
                  <w:rStyle w:val="InternetLink"/>
                  <w:rFonts w:ascii="Arial;sans-serif" w:hAnsi="Arial;sans-serif"/>
                  <w:b w:val="false"/>
                  <w:color w:val="000080"/>
                  <w:sz w:val="20"/>
                  <w:u w:val="single"/>
                </w:rPr>
                <w:t>Oxley Act of 2002 for BXP, Inc. (Furnished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331ex323.htm">
              <w:r>
                <w:rPr>
                  <w:rStyle w:val="InternetLink"/>
                  <w:rFonts w:ascii="Arial;sans-serif" w:hAnsi="Arial;sans-serif"/>
                  <w:b w:val="false"/>
                  <w:color w:val="000080"/>
                  <w:sz w:val="20"/>
                  <w:u w:val="single"/>
                </w:rPr>
                <w:t>Certification of Chief Executive Officer pursuant to Section 906 of the Sarbanes</w:t>
              </w:r>
            </w:hyperlink>
            <w:hyperlink w:anchor="bxpbplp-2026331ex323.htm">
              <w:r>
                <w:rPr>
                  <w:rStyle w:val="InternetLink"/>
                  <w:rFonts w:ascii="Arial;sans-serif" w:hAnsi="Arial;sans-serif"/>
                  <w:b w:val="false"/>
                  <w:color w:val="000080"/>
                  <w:sz w:val="20"/>
                  <w:u w:val="single"/>
                </w:rPr>
                <w:t>-</w:t>
              </w:r>
            </w:hyperlink>
            <w:hyperlink w:anchor="bxpbplp-2026331ex323.htm">
              <w:r>
                <w:rPr>
                  <w:rStyle w:val="InternetLink"/>
                  <w:rFonts w:ascii="Arial;sans-serif" w:hAnsi="Arial;sans-serif"/>
                  <w:b w:val="false"/>
                  <w:color w:val="000080"/>
                  <w:sz w:val="20"/>
                  <w:u w:val="single"/>
                </w:rPr>
                <w:t>Oxley Act of 2002 for Boston Properties Limited Partnership. (Furnished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331ex324.htm">
              <w:r>
                <w:rPr>
                  <w:rStyle w:val="InternetLink"/>
                  <w:rFonts w:ascii="Arial;sans-serif" w:hAnsi="Arial;sans-serif"/>
                  <w:b w:val="false"/>
                  <w:color w:val="000080"/>
                  <w:sz w:val="20"/>
                  <w:u w:val="single"/>
                </w:rPr>
                <w:t>Certification of Chief Financial Officer pursuant to Section 906 of the Sarbanes</w:t>
              </w:r>
            </w:hyperlink>
            <w:hyperlink w:anchor="bxpbplp-2026331ex324.htm">
              <w:r>
                <w:rPr>
                  <w:rStyle w:val="InternetLink"/>
                  <w:rFonts w:ascii="Arial;sans-serif" w:hAnsi="Arial;sans-serif"/>
                  <w:b w:val="false"/>
                  <w:color w:val="000080"/>
                  <w:sz w:val="20"/>
                  <w:u w:val="single"/>
                </w:rPr>
                <w:t>-</w:t>
              </w:r>
            </w:hyperlink>
            <w:hyperlink w:anchor="bxpbplp-2026331ex324.htm">
              <w:r>
                <w:rPr>
                  <w:rStyle w:val="InternetLink"/>
                  <w:rFonts w:ascii="Arial;sans-serif" w:hAnsi="Arial;sans-serif"/>
                  <w:b w:val="false"/>
                  <w:color w:val="000080"/>
                  <w:sz w:val="20"/>
                  <w:u w:val="single"/>
                </w:rPr>
                <w:t>Oxley Act of 2002 for Boston Properties Limited Partnership. (Furnished herewith.)</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 (Filed herewith.)</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 (Filed herewith.)</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 (Filed herewith.)</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 (Filed herewith.)</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 (Filed herewith.)</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with applicable taxonomy extension information contained in Exhibits 101.*). (Filed herewith.)</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90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6346" w:type="dxa"/>
        <w:jc w:val="center"/>
        <w:tblInd w:w="0" w:type="dxa"/>
        <w:tblLayout w:type="fixed"/>
        <w:tblCellMar>
          <w:top w:w="28" w:type="dxa"/>
          <w:left w:w="28" w:type="dxa"/>
          <w:bottom w:w="28" w:type="dxa"/>
          <w:right w:w="28" w:type="dxa"/>
        </w:tblCellMar>
      </w:tblPr>
      <w:tblGrid>
        <w:gridCol w:w="433"/>
        <w:gridCol w:w="382"/>
        <w:gridCol w:w="384"/>
        <w:gridCol w:w="166"/>
        <w:gridCol w:w="166"/>
        <w:gridCol w:w="166"/>
        <w:gridCol w:w="1361"/>
        <w:gridCol w:w="1361"/>
        <w:gridCol w:w="1927"/>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 INC.</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7, 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R. W</w:t>
            </w:r>
            <w:r>
              <w:rPr>
                <w:rFonts w:ascii="Arial;sans-serif" w:hAnsi="Arial;sans-serif"/>
                <w:b w:val="false"/>
                <w:color w:val="000000"/>
                <w:sz w:val="16"/>
              </w:rPr>
              <w:t>ALSH        </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Michael R. Walsh</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Accounting Officer</w:t>
              <w:br/>
              <w:t>(duly authorized officer and principal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400" w:after="283"/>
        <w:jc w:val="left"/>
        <w:rPr/>
      </w:pPr>
      <w:hyperlink w:anchor="i425afafb06e54f269e8b49ae4cdb689a_10">
        <w:r>
          <w:rPr>
            <w:rStyle w:val="InternetLink"/>
          </w:rPr>
          <w:t>Table of Contents</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hyperlink w:anchor="i425afafb06e54f269e8b49ae4cdb689a_10">
        <w:r>
          <w:rPr>
            <w:rStyle w:val="InternetLink"/>
          </w:rPr>
          <w:t>    </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8003" w:type="dxa"/>
        <w:jc w:val="center"/>
        <w:tblInd w:w="0" w:type="dxa"/>
        <w:tblLayout w:type="fixed"/>
        <w:tblCellMar>
          <w:top w:w="28" w:type="dxa"/>
          <w:left w:w="28" w:type="dxa"/>
          <w:bottom w:w="28" w:type="dxa"/>
          <w:right w:w="28" w:type="dxa"/>
        </w:tblCellMar>
      </w:tblPr>
      <w:tblGrid>
        <w:gridCol w:w="433"/>
        <w:gridCol w:w="382"/>
        <w:gridCol w:w="384"/>
        <w:gridCol w:w="718"/>
        <w:gridCol w:w="718"/>
        <w:gridCol w:w="718"/>
        <w:gridCol w:w="1362"/>
        <w:gridCol w:w="1362"/>
        <w:gridCol w:w="1926"/>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LIMITED PARTNERSHIP</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BXP, Inc., its General Partner</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7, 2026</w:t>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R. W</w:t>
            </w:r>
            <w:r>
              <w:rPr>
                <w:rFonts w:ascii="Arial;sans-serif" w:hAnsi="Arial;sans-serif"/>
                <w:b w:val="false"/>
                <w:color w:val="000000"/>
                <w:sz w:val="16"/>
              </w:rPr>
              <w:t>ALSH        </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Michael R. Walsh</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Accounting Officer</w:t>
              <w:br/>
              <w:t>(duly authorized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tbl>
      <w:tblPr>
        <w:tblW w:w="4796" w:type="dxa"/>
        <w:jc w:val="left"/>
        <w:tblInd w:w="0" w:type="dxa"/>
        <w:tblLayout w:type="fixed"/>
        <w:tblCellMar>
          <w:top w:w="28" w:type="dxa"/>
          <w:left w:w="28" w:type="dxa"/>
          <w:bottom w:w="28" w:type="dxa"/>
          <w:right w:w="28" w:type="dxa"/>
        </w:tblCellMar>
      </w:tblPr>
      <w:tblGrid>
        <w:gridCol w:w="1604"/>
        <w:gridCol w:w="1408"/>
        <w:gridCol w:w="1412"/>
        <w:gridCol w:w="109"/>
        <w:gridCol w:w="109"/>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49"/>
              </w:rPr>
            </w:pPr>
            <w:r>
              <w:rPr>
                <w:rFonts w:ascii="Times New Roman;serif" w:hAnsi="Times New Roman;serif"/>
                <w:b/>
                <w:color w:val="000000"/>
                <w:sz w:val="49"/>
              </w:rPr>
              <w:t>BXP</w:t>
            </w:r>
          </w:p>
          <w:p>
            <w:pPr>
              <w:pStyle w:val="TableContents"/>
              <w:bidi w:val="0"/>
              <w:spacing w:lineRule="auto" w:line="288" w:before="0" w:after="0"/>
              <w:jc w:val="left"/>
              <w:rPr/>
            </w:pPr>
            <w:r>
              <w:rPr>
                <w:rFonts w:ascii="Times New Roman;serif" w:hAnsi="Times New Roman;serif"/>
                <w:b w:val="false"/>
                <w:color w:val="000000"/>
                <w:sz w:val="36"/>
              </w:rPr>
              <w:t xml:space="preserve">Deferred Compensation Plan </w:t>
              <w:br/>
            </w:r>
            <w:r>
              <w:rPr>
                <w:rFonts w:ascii="Times New Roman;serif" w:hAnsi="Times New Roman;serif"/>
                <w:b w:val="false"/>
                <w:i/>
                <w:color w:val="000000"/>
                <w:sz w:val="36"/>
              </w:rPr>
              <w:t>Master Plan Document</w:t>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18" w:after="20"/>
              <w:jc w:val="left"/>
              <w:rPr/>
            </w:pPr>
            <w:r>
              <w:rPr/>
            </w:r>
          </w:p>
        </w:tc>
      </w:tr>
    </w:tbl>
    <w:p>
      <w:pPr>
        <w:pStyle w:val="TextBody"/>
        <w:bidi w:val="0"/>
        <w:spacing w:before="5" w:after="283"/>
        <w:jc w:val="center"/>
        <w:rPr/>
      </w:pPr>
      <w:r>
        <w:rPr/>
      </w:r>
    </w:p>
    <w:p>
      <w:pPr>
        <w:pStyle w:val="TextBody"/>
        <w:bidi w:val="0"/>
        <w:spacing w:before="5" w:after="283"/>
        <w:jc w:val="center"/>
        <w:rPr/>
      </w:pPr>
      <w:r>
        <w:rPr/>
      </w:r>
    </w:p>
    <w:p>
      <w:pPr>
        <w:pStyle w:val="TextBody"/>
        <w:bidi w:val="0"/>
        <w:spacing w:lineRule="auto" w:line="288" w:before="5" w:after="283"/>
        <w:jc w:val="center"/>
        <w:rPr>
          <w:rFonts w:ascii="Times New Roman;serif" w:hAnsi="Times New Roman;serif"/>
          <w:b/>
          <w:color w:val="000000"/>
          <w:sz w:val="36"/>
        </w:rPr>
      </w:pPr>
      <w:r>
        <w:rPr>
          <w:rFonts w:ascii="Times New Roman;serif" w:hAnsi="Times New Roman;serif"/>
          <w:b/>
          <w:color w:val="000000"/>
          <w:sz w:val="36"/>
        </w:rPr>
        <w:t>Amended and Restated Effective as of January 1, 2026</w:t>
      </w:r>
    </w:p>
    <w:p>
      <w:pPr>
        <w:pStyle w:val="TextBody"/>
        <w:bidi w:val="0"/>
        <w:spacing w:before="411"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11" w:after="283"/>
        <w:jc w:val="center"/>
        <w:rPr>
          <w:rFonts w:ascii="Times New Roman;serif" w:hAnsi="Times New Roman;serif"/>
          <w:b/>
          <w:color w:val="000000"/>
          <w:sz w:val="25"/>
        </w:rPr>
      </w:pPr>
      <w:r>
        <w:rPr>
          <w:rFonts w:ascii="Times New Roman;serif" w:hAnsi="Times New Roman;serif"/>
          <w:b/>
          <w:color w:val="000000"/>
          <w:sz w:val="25"/>
        </w:rPr>
        <w:t>TABLE OF CONTENTS</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502"/>
        <w:gridCol w:w="441"/>
        <w:gridCol w:w="442"/>
        <w:gridCol w:w="2819"/>
        <w:gridCol w:w="2800"/>
        <w:gridCol w:w="2806"/>
        <w:gridCol w:w="114"/>
        <w:gridCol w:w="114"/>
        <w:gridCol w:w="167"/>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1 </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Definitions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2 </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Selection, Enrollment, Eligibility</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Selection by Compensation Committee</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Enrollment Requirements</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Eligibility; Commencement of Participation</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Termination of Participation and/or Deferrals</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3 </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Deferral Commitments/401(k) Restoration Matching Amounts/Vesting/Crediting/Taxes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Minimum Deferrals</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Maximum Deferral</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Election to Defer; Effect of Election Form</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Withholding of Annual Deferral Amounts</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3.5</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Annual 401(k) Restoration Matching Amount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Vesting</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3.7</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Crediting/Debiting of Account Balances</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3.8</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FICA and Other Taxes</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4 </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Short-Term Payout; Withdrawal Election</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Short-Term Payout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Other Benefits Take Precedence Over Short-Term</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Withdrawal Election</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5 </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Retirement Benefit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Retirement Benefit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Payment of Retirement Benefit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5.3</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Death Prior to Completion of Retirement Benefit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6 </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Pre-Retirement Survivor Benefit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Pre-Retirement Survivor Benefit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Payment of Pre-Retirement Survivor Benefit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7 </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Termination Benefit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Termination Benefit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7.2</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Payment of Termination Benefit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8 </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Beneficiary Designation</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Beneficiary</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8.2</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Beneficiary Designation; Change; Spousal Consent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8.3</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Acknowledgment</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8.4</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No Beneficiary Designation</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Doubt as to Beneficiary</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w:t>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Discharge of Obligations</w:t>
            </w:r>
            <w:r>
              <w:rPr>
                <w:rFonts w:ascii="Times New Roman;serif" w:hAnsi="Times New Roman;serif"/>
                <w:b w:val="false"/>
                <w:color w:val="000000"/>
                <w:sz w:val="22"/>
              </w:rPr>
              <w: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tbl>
      <w:tblPr>
        <w:tblW w:w="6104" w:type="dxa"/>
        <w:jc w:val="left"/>
        <w:tblInd w:w="0" w:type="dxa"/>
        <w:tblLayout w:type="fixed"/>
        <w:tblCellMar>
          <w:top w:w="28" w:type="dxa"/>
          <w:left w:w="28" w:type="dxa"/>
          <w:bottom w:w="28" w:type="dxa"/>
          <w:right w:w="28" w:type="dxa"/>
        </w:tblCellMar>
      </w:tblPr>
      <w:tblGrid>
        <w:gridCol w:w="549"/>
        <w:gridCol w:w="482"/>
        <w:gridCol w:w="483"/>
        <w:gridCol w:w="1398"/>
        <w:gridCol w:w="1398"/>
        <w:gridCol w:w="1403"/>
        <w:gridCol w:w="114"/>
        <w:gridCol w:w="114"/>
        <w:gridCol w:w="163"/>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9 </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Leave of Absence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Paid Leave of Absence</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9.2</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Unpaid Leave of Absence</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10 </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Termination, Amendment or Modification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Termination</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Amendment</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Delegation to Benefits Committee</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Effect of Payment</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11 </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Administration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Benefits Committee Duties</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Agents</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11.3</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Binding Effect of Decisions</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11.4</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Indemnity of Benefits Committee</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11.5</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Sponsor Information</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12 </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Other Benefits and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Coordination with Other Benefits</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13 </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Claims Procedures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Presentation of Claim</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13.2</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Notification of Decision</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13.3</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Review of a Denied Claim</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13.4</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Decision on Review</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13.5</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Legal Action</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ARTICLE 14 </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Trust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14.1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Establishment of the Trust</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14.2</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Interrelationship of the Plan and the Trust</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14.3</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Distributions From the Trust</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15</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Miscellaneous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Status of Plan</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15.2</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Unsecured General Creditor</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15.3</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Sponsor's Liability</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15.4</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No Assignability</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15.5</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15.6</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Furnishing Information</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15.7</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Terms</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15.8</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Captions</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15.9</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Governing Law</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15.10</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Notice</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15.11</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Successors</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15.12</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Spouse's Interest</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tbl>
      <w:tblPr>
        <w:tblW w:w="2388" w:type="dxa"/>
        <w:jc w:val="left"/>
        <w:tblInd w:w="0" w:type="dxa"/>
        <w:tblLayout w:type="fixed"/>
        <w:tblCellMar>
          <w:top w:w="28" w:type="dxa"/>
          <w:left w:w="28" w:type="dxa"/>
          <w:bottom w:w="28" w:type="dxa"/>
          <w:right w:w="28" w:type="dxa"/>
        </w:tblCellMar>
      </w:tblPr>
      <w:tblGrid>
        <w:gridCol w:w="239"/>
        <w:gridCol w:w="210"/>
        <w:gridCol w:w="212"/>
        <w:gridCol w:w="444"/>
        <w:gridCol w:w="444"/>
        <w:gridCol w:w="448"/>
        <w:gridCol w:w="114"/>
        <w:gridCol w:w="114"/>
        <w:gridCol w:w="16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15.13</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Validity</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15.14</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Incompetent</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15.15</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Court Order</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15.16</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Insurance</w:t>
            </w:r>
            <w:r>
              <w:rPr>
                <w:rFonts w:ascii="Times New Roman;serif" w:hAnsi="Times New Roman;serif"/>
                <w:b w:val="false"/>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xbxContent>
                </v:textbox>
                <w10:wrap type="none"/>
              </v:rect>
            </w:pict>
          </mc:Fallback>
        </mc:AlternateContent>
      </w:r>
    </w:p>
    <w:p>
      <w:pPr>
        <w:pStyle w:val="TextBody"/>
        <w:bidi w:val="0"/>
        <w:spacing w:lineRule="auto" w:line="288" w:before="263" w:after="283"/>
        <w:jc w:val="center"/>
        <w:rPr>
          <w:rFonts w:ascii="Times New Roman;serif" w:hAnsi="Times New Roman;serif"/>
          <w:b/>
          <w:color w:val="000000"/>
          <w:sz w:val="24"/>
        </w:rPr>
      </w:pPr>
      <w:r>
        <w:rPr>
          <w:rFonts w:ascii="Times New Roman;serif" w:hAnsi="Times New Roman;serif"/>
          <w:b/>
          <w:color w:val="000000"/>
          <w:sz w:val="24"/>
        </w:rPr>
        <w:t>BXP</w:t>
      </w:r>
    </w:p>
    <w:p>
      <w:pPr>
        <w:pStyle w:val="TextBody"/>
        <w:bidi w:val="0"/>
        <w:spacing w:lineRule="auto" w:line="288" w:before="7" w:after="283"/>
        <w:jc w:val="center"/>
        <w:rPr/>
      </w:pPr>
      <w:r>
        <w:rPr>
          <w:rFonts w:ascii="Times New Roman;serif" w:hAnsi="Times New Roman;serif"/>
          <w:b/>
          <w:color w:val="000000"/>
          <w:sz w:val="24"/>
        </w:rPr>
        <w:t xml:space="preserve">DEFERRED COMPENSATION PLAN </w:t>
        <w:br/>
      </w:r>
      <w:r>
        <w:rPr>
          <w:rFonts w:ascii="Times New Roman;serif" w:hAnsi="Times New Roman;serif"/>
          <w:b w:val="false"/>
          <w:color w:val="000000"/>
          <w:sz w:val="24"/>
        </w:rPr>
        <w:t>Amended and Restated Effective as of January 1, 2026</w:t>
      </w:r>
    </w:p>
    <w:p>
      <w:pPr>
        <w:pStyle w:val="TextBody"/>
        <w:bidi w:val="0"/>
        <w:spacing w:before="7" w:after="283"/>
        <w:jc w:val="center"/>
        <w:rPr/>
      </w:pPr>
      <w:r>
        <w:rPr/>
      </w:r>
    </w:p>
    <w:p>
      <w:pPr>
        <w:pStyle w:val="TextBody"/>
        <w:bidi w:val="0"/>
        <w:spacing w:lineRule="auto" w:line="288" w:before="7" w:after="283"/>
        <w:jc w:val="center"/>
        <w:rPr>
          <w:rFonts w:ascii="Times New Roman;serif" w:hAnsi="Times New Roman;serif"/>
          <w:b/>
          <w:color w:val="000000"/>
          <w:sz w:val="24"/>
          <w:u w:val="single"/>
        </w:rPr>
      </w:pPr>
      <w:r>
        <w:rPr>
          <w:rFonts w:ascii="Times New Roman;serif" w:hAnsi="Times New Roman;serif"/>
          <w:b/>
          <w:color w:val="000000"/>
          <w:sz w:val="24"/>
          <w:u w:val="single"/>
        </w:rPr>
        <w:t>Purpose</w:t>
      </w:r>
    </w:p>
    <w:p>
      <w:pPr>
        <w:pStyle w:val="TextBody"/>
        <w:bidi w:val="0"/>
        <w:spacing w:lineRule="auto" w:line="288" w:before="256"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this Plan was originally adopted by the Compensation Committee on October 29, 1998.</w:t>
      </w:r>
    </w:p>
    <w:p>
      <w:pPr>
        <w:pStyle w:val="TextBody"/>
        <w:bidi w:val="0"/>
        <w:spacing w:lineRule="auto" w:line="288" w:before="112"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purpose of this Plan is to provide specified benefits to a select group of management or highly compensated Employees who contribute materially to the continued growth, development and future business success of Boston Properties Limited Partnership. This Plan shall be unfunded for tax purposes and for purposes of Title I of ERISA.</w:t>
      </w:r>
    </w:p>
    <w:p>
      <w:pPr>
        <w:pStyle w:val="TextBody"/>
        <w:bidi w:val="0"/>
        <w:spacing w:lineRule="auto" w:line="288" w:before="112"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Plan provides that the Sponsor may amend the Plan at any time.</w:t>
      </w:r>
    </w:p>
    <w:p>
      <w:pPr>
        <w:pStyle w:val="TextBody"/>
        <w:bidi w:val="0"/>
        <w:spacing w:lineRule="auto" w:line="288" w:before="112"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Sponsor hereby amends and restates the Plan as follows, effective as of January 1, 2026.</w:t>
      </w:r>
    </w:p>
    <w:p>
      <w:pPr>
        <w:pStyle w:val="TextBody"/>
        <w:bidi w:val="0"/>
        <w:spacing w:lineRule="auto" w:line="288" w:before="256" w:after="283"/>
        <w:jc w:val="center"/>
        <w:rPr/>
      </w:pPr>
      <w:r>
        <w:rPr>
          <w:rFonts w:ascii="Times New Roman;serif" w:hAnsi="Times New Roman;serif"/>
          <w:b/>
          <w:color w:val="000000"/>
          <w:sz w:val="24"/>
        </w:rPr>
        <w:t>ARTICLE 1</w:t>
        <w:br/>
      </w:r>
      <w:r>
        <w:rPr>
          <w:rFonts w:ascii="Times New Roman;serif" w:hAnsi="Times New Roman;serif"/>
          <w:b/>
          <w:color w:val="000000"/>
          <w:sz w:val="24"/>
          <w:u w:val="single"/>
        </w:rPr>
        <w:t>Definitions</w:t>
      </w:r>
      <w:r>
        <w:rPr>
          <w:color w:val="000000"/>
        </w:rPr>
        <w:t xml:space="preserve"> </w:t>
      </w:r>
    </w:p>
    <w:p>
      <w:pPr>
        <w:pStyle w:val="TextBody"/>
        <w:bidi w:val="0"/>
        <w:spacing w:lineRule="auto" w:line="288" w:before="256"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purposes of this Plan, unless otherwise clearly apparent from the context, the following phrases or terms shall have the following indicated meanings:</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1.1"Account Balance" shall mean, with respect to a Participant, a credit on the records of the Sponsor equal to the sum of (i) the Deferral Account balance and (ii) the 401(k) Restoration Matching Account balance. The Account Balance, and each other specified account balance, shall be a bookkeeping entry only and shall be utilized solely as a device for the measurement and determination of the amounts to be paid to a Participant, or his or her designated Beneficiary, pursuant to this Plan. A "Pre-2005 Account" shall mean the amount standing to the credit of a Participant's Account Balance as of December 31, 2004, as adjusted for deemed investment earnings, losses and distributions. A "Post-2004 Account" shall mean the amount credited to a Participant's Account Balance after January 1, 2005, as adjusted for deemed investment earnings, losses and distributions.</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1.2"Annual Bonus" shall mean any compensation, in addition to Base Annual Salary, payable during the Plan Year to a Participant as an Employee under the Sponsor's annual bonus and cash incentive plans, excluding stock options and restricted stock, which the Benefits Committee, in its sole discretion, determines to be eligible for deferral under this Plan.</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1.3"Annual Deferral Amount" shall mean that portion of a Participant's Base Annual Salary and Annual Bonus that a Participant defers in accordance with Article 3 for any one Plan Year. In the event of a Participant's Retirement, death or a Separation from Service prior to the end of a Plan Year, such year's Annual Deferral Amount shall be the actual amount withheld prior to such event.</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1.4"Annual 401(k) Restoration Matching Amount" for any one Plan Year shall be the amount determined in accordance with Section 3.5.</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35915"/>
                <wp:effectExtent l="0" t="0" r="0" b="0"/>
                <wp:wrapNone/>
                <wp:docPr id="85" name="Frame8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1.5"Annual Installment Method" shall be an annual installment payment over the number of years selected by the Participant in accordance with this Plan, calculated as follows: (i) for the first annual installment, the Account Balance of the Participant shall be calculated as of the close of business on or around the last business day of the Plan Year in which the Participant Retires and (ii) for remaining annual installments, the Account Balance of the Participant shall be calculated on every applicable anniversary of the last business day of the Plan Year in which the Participant Retired. The annual installment shall be calculated by multiplying this balance by a fraction, the numerator of which is one and the denominator of which is the remaining number of annual payments due the Participant. By way of example, if the Participant elects a ten (10) year Annual Installment Method, the first payment shall be 1/10 of the Account Balance, calculated as described in this definition. The following year, the payment shall be 1/9 of the Account Balance, calculated as described in this definition. The first annual installment payment shall be paid no later than fifteen (15) days after the last day of the Plan Year in which the Participant Retires. Remaining annual installments shall be paid no later than fifteen (15) days after the last day of the applicable Plan Year.</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1.6"Base Annual Salary" shall mean the annual cash compensation included on the Federal Income Tax Form W-2 for such calendar year, excluding bonuses, commissions, overtime, fringe benefits, stock options, restricted stock, relocation expenses, incentive payments, non-monetary awards, directors fees and other fees, and automobile and other allowances paid to a Participant for employment services rendered (whether or not such allowances are included in the Employee's gross income). Base Annual Salary shall be calculated before reduction for compensation voluntarily deferred or contributed by the Participant pursuant to all qualified or non-qualified plans of the Sponsor and shall be calculated to include amounts not otherwise included in the Participant's gross income under Code Sections 125, 132(f), 401(k), 402(e)(3), or 402(h) pursuant to plans established by the Sponsor; provided, however, that all such amounts will be included in compensation only to the extent that had there been no such plan, the amount would have been payable in cash to the Employee.</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1.7"Beneficiary" shall mean one or more persons, trusts, estates or other entities, designated in accordance with Article 8, that are entitled to receive benefits under this Plan upon the death of a Participant.</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1.8"Beneficiary Designation Form" shall mean the form established from time to time by the Benefits Committee that a Participant completes, signs and returns to the Benefits Committee to designate one or more Beneficiaries.</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1.9"Benefits Committee" shall mean the committee described in Article 11. </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1.10"Claimant" shall have the meaning set forth in Section 13.1.</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1.11"Code" shall mean the Internal Revenue Code of 1986, as it may be amended from time to time.</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1.12"Compensation Committee" shall mean the Compensation Committee of the Board of Directors of BXP, Inc.</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1.13"Deferral Account" shall mean (i) the sum of all of a Participant's Annual Deferral Amounts, plus (ii) amounts credited in accordance with all the applicable crediting and debiting provisions of this Plan that relate to the Participant's Deferral Account, less (iii) all distributions made to the Participant or his or her Beneficiary pursuant to this Plan that relate to his or her Deferral Account.</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1.14"Election Form" shall mean the form established from time to time by the Benefits Committee that a Participant completes, signs and returns to the Benefits Committee to make an election under the Plan.</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1.15"Employee" shall mean a person who is an employee of the Sponsor or an affiliate of the Sponsor.</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35915"/>
                <wp:effectExtent l="0" t="0" r="0" b="0"/>
                <wp:wrapNone/>
                <wp:docPr id="86" name="Frame8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1.16"ERISA" shall mean the Employee Retirement Income Security Act of 1974, as it may be amended from time to time.</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1.17"First Plan Year" shall mean the period beginning March 1, 2002 and ending December 31, 2002.</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1.18"401(k) Plan" shall be the BXP Retirement Savings Plan as in effect from time to time.</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1.19"401(k) Restoration Matching Account" shall mean (i) the sum of all of a Participant's Annual 401(k) Restoration Matching Amounts, plus (ii) amounts credited in accordance with all the applicable crediting and debiting provisions of this Plan that relate to the Participant's 401(k) Restoration Matching Account, less (iii) all distributions made to the Participant or his or her Beneficiary pursuant to this Plan that relate to the Participant's 401(k) Restoration Matching Account.</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1.20"Participant" shall mean any Employee (i) who is selected to participate in the Plan, (ii) who elects to participate in the Plan, (iii) who signs an Election Form and a Beneficiary Designation Form, (iv) whose signed Election Form and Beneficiary Designation Form are accepted by the Benefits Committee, (v) who commences participation in the Plan, and (vi) whose participation in the Plan has not terminated. A spouse or former spouse of a Participant shall not be treated as a Participant in the Plan or have an account balance under the Plan, even if he or she has an interest in the Participant's benefits under the Plan as a result of applicable law or property settlements resulting from legal separation or divorce.</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1.21"Plan" shall mean the BXP Deferred Compensation Plan (formerly known as the Boston Properties Deferred Compensation Plan), which shall be evidenced by this instrument, as it may be amended from time to time.</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1.22"Plan Year" shall, except for the First Plan Year, mean a period beginning on January 1 of each calendar year and continuing through December 31 of such calendar year.</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1.23"Pre-Retirement Survivor Benefit" shall mean the benefit set forth in Article 6.</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1.24"Retirement," "Retire(s)" or "Retired" shall mean, with respect to an Employee, the date a Separation from Service occurs for any reason other than a leave of absence or death, on or after the attainment of age fifty-five (55) with five (5) Years of Service.</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1.25"Retirement Benefit" shall mean the benefit set forth in Article 5.</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1.26"Separation from Service" or "Separates from Service" shall mean when the Employee and the Sponsor (or any affiliate thereof) reasonably anticipate that no further services would be performed by the Employee for such Sponsor (or any affiliate thereof) after a certain date or that the level of bona fide services the Employee would perform for the Sponsor (or any affiliate thereof) would permanently decrease to no more than 20 percent of the average level of bona fide services performed by the Employee for the Sponsor (or any affiliate thereof) over the immediately preceding 36-month period (or period of employment, if less than 36 months).</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1.27"Short-Term Payout" shall mean the payout set forth in Section 4.1.</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1.28"Sponsor" shall mean Boston Properties Limited Partnership, a Delaware limited partnership, and any successor to all or substantially all of the Sponsor's assets or business.</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1.29"Termination Benefit" shall mean the benefit set forth in Article 7.</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1.30"Trust" shall mean one or more trusts, if any, established by the Sponsor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35915"/>
                <wp:effectExtent l="0" t="0" r="0" b="0"/>
                <wp:wrapNone/>
                <wp:docPr id="87" name="Frame8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1.31"Years of Service" shall mean the total number of full years in which a Participant has been employed by the Sponsor (or any affiliate thereof). For purposes of this definition, a year of employment shall be a 365-day period (or 366-day period in the case of a leap year) that, for the first year of employment, commences on the Employee's date of hiring and that, for any subsequent year, commences on an anniversary of that hiring date. The Benefits Committee shall make a determination as to whether any partial year of employment shall be counted as a Year of Service.</w:t>
      </w:r>
    </w:p>
    <w:p>
      <w:pPr>
        <w:pStyle w:val="TextBody"/>
        <w:bidi w:val="0"/>
        <w:spacing w:lineRule="auto" w:line="288" w:before="256" w:after="283"/>
        <w:jc w:val="center"/>
        <w:rPr/>
      </w:pPr>
      <w:r>
        <w:rPr>
          <w:rFonts w:ascii="Times New Roman;serif" w:hAnsi="Times New Roman;serif"/>
          <w:b/>
          <w:color w:val="000000"/>
          <w:sz w:val="24"/>
        </w:rPr>
        <w:t>ARTICLE 2</w:t>
        <w:br/>
      </w:r>
      <w:r>
        <w:rPr>
          <w:rFonts w:ascii="Times New Roman;serif" w:hAnsi="Times New Roman;serif"/>
          <w:b/>
          <w:color w:val="000000"/>
          <w:sz w:val="24"/>
          <w:u w:val="single"/>
        </w:rPr>
        <w:t>Selection, Enrollment, Eligibility</w:t>
      </w:r>
    </w:p>
    <w:p>
      <w:pPr>
        <w:pStyle w:val="TextBody"/>
        <w:bidi w:val="0"/>
        <w:spacing w:lineRule="auto" w:line="288" w:before="256" w:after="283"/>
        <w:ind w:left="0" w:right="0" w:hanging="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Selection by Compensation Committee</w:t>
      </w:r>
      <w:r>
        <w:rPr>
          <w:rFonts w:ascii="Times New Roman;serif" w:hAnsi="Times New Roman;serif"/>
          <w:b w:val="false"/>
          <w:color w:val="000000"/>
          <w:sz w:val="24"/>
        </w:rPr>
        <w:t>. Participation in the Plan shall be limited to a select group of management and highly compensated Employees of the Sponsor, as determined by the Compensation Committee in its sole discretion. From that group, the Compensation Committee shall select, in its sole discretion, Employees to participate in the Plan.</w:t>
      </w:r>
    </w:p>
    <w:p>
      <w:pPr>
        <w:pStyle w:val="TextBody"/>
        <w:bidi w:val="0"/>
        <w:spacing w:lineRule="auto" w:line="288" w:before="112" w:after="283"/>
        <w:ind w:left="0" w:right="0" w:hanging="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Enrollment Requirements</w:t>
      </w:r>
      <w:r>
        <w:rPr>
          <w:rFonts w:ascii="Times New Roman;serif" w:hAnsi="Times New Roman;serif"/>
          <w:b w:val="false"/>
          <w:color w:val="000000"/>
          <w:sz w:val="24"/>
        </w:rPr>
        <w:t>. As a condition to participate, each selected Employee shall complete, execute and return to the Benefits Committee an Election Form and a Beneficiary Designation Form, all within thirty (30) days after he or she is selected to participate in the Plan. In addition, the Benefits Committee shall establish from time to time such other enrollment requirements as it determines in its sole discretion are necessary.</w:t>
      </w:r>
    </w:p>
    <w:p>
      <w:pPr>
        <w:pStyle w:val="TextBody"/>
        <w:bidi w:val="0"/>
        <w:spacing w:lineRule="auto" w:line="288" w:before="112" w:after="283"/>
        <w:ind w:left="0" w:right="0" w:hanging="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Eligibility; Commencement of Participation</w:t>
      </w:r>
      <w:r>
        <w:rPr>
          <w:rFonts w:ascii="Times New Roman;serif" w:hAnsi="Times New Roman;serif"/>
          <w:b w:val="false"/>
          <w:color w:val="000000"/>
          <w:sz w:val="24"/>
        </w:rPr>
        <w:t>. Provided an Employee selected to participate in the Plan has met all enrollment requirements set forth in this Plan and required by the Benefits Committee, including returning all required documents to the Benefits Committee within the specified time period, that Employee shall commence participation in the Plan on the first day of the month following the month in which the Employee completes all enrollment requirements, provided that such Employee has not previously been eligible to participate in any other account balance deferred compensation plan of the Sponsor. If an Employee fails to meet all such requirements within the period required, in accordance with Section 2.2, that Employee shall not be eligible to participate in the Plan until the first day of the Plan Year following the delivery to and acceptance by the Benefits Committee of the required documents.</w:t>
      </w:r>
    </w:p>
    <w:p>
      <w:pPr>
        <w:pStyle w:val="TextBody"/>
        <w:bidi w:val="0"/>
        <w:spacing w:lineRule="auto" w:line="288" w:before="112" w:after="283"/>
        <w:ind w:left="0" w:right="0" w:hanging="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Termination of Participation and/or Deferrals</w:t>
      </w:r>
      <w:r>
        <w:rPr>
          <w:rFonts w:ascii="Times New Roman;serif" w:hAnsi="Times New Roman;serif"/>
          <w:b w:val="false"/>
          <w:color w:val="000000"/>
          <w:sz w:val="24"/>
        </w:rPr>
        <w:t>. If the Compensation Committee determines in good faith that a Participant no longer qualifies as a member of a select group of management or highly compensated employees, as membership in such group is determined in accordance with Sections 201(2), 301(a)(3) and 401(a)(1) of ERISA, the Compensation Committee shall have the right, in its sole discretion, to prevent the Participant from making future deferral elections.</w:t>
      </w:r>
    </w:p>
    <w:p>
      <w:pPr>
        <w:pStyle w:val="TextBody"/>
        <w:bidi w:val="0"/>
        <w:spacing w:lineRule="auto" w:line="288" w:before="256" w:after="283"/>
        <w:jc w:val="center"/>
        <w:rPr/>
      </w:pPr>
      <w:r>
        <w:rPr>
          <w:rFonts w:ascii="Times New Roman;serif" w:hAnsi="Times New Roman;serif"/>
          <w:b/>
          <w:color w:val="000000"/>
          <w:sz w:val="24"/>
        </w:rPr>
        <w:t>ARTICLE 3</w:t>
        <w:br/>
      </w:r>
      <w:r>
        <w:rPr>
          <w:rFonts w:ascii="Times New Roman;serif" w:hAnsi="Times New Roman;serif"/>
          <w:b/>
          <w:color w:val="000000"/>
          <w:sz w:val="24"/>
          <w:u w:val="single"/>
        </w:rPr>
        <w:t>Deferral Commitments/401(k) Restoration Matching Amounts/Vesting/Crediting/Taxes</w:t>
      </w:r>
    </w:p>
    <w:p>
      <w:pPr>
        <w:pStyle w:val="TextBody"/>
        <w:bidi w:val="0"/>
        <w:spacing w:lineRule="auto" w:line="288" w:before="256" w:after="283"/>
        <w:ind w:left="0" w:right="0" w:hanging="720"/>
        <w:jc w:val="left"/>
        <w:rPr/>
      </w:pPr>
      <w:r>
        <w:rPr>
          <w:rFonts w:ascii="Times New Roman;serif" w:hAnsi="Times New Roman;serif"/>
          <w:b w:val="false"/>
          <w:color w:val="000000"/>
          <w:sz w:val="24"/>
        </w:rPr>
        <w:t>3.1</w:t>
      </w:r>
      <w:r>
        <w:rPr>
          <w:rFonts w:ascii="Times New Roman;serif" w:hAnsi="Times New Roman;serif"/>
          <w:b w:val="false"/>
          <w:color w:val="000000"/>
          <w:sz w:val="24"/>
          <w:u w:val="single"/>
        </w:rPr>
        <w:t>Minimum Deferrals</w:t>
      </w:r>
      <w:r>
        <w:rPr>
          <w:rFonts w:ascii="Times New Roman;serif" w:hAnsi="Times New Roman;serif"/>
          <w:b w:val="false"/>
          <w:color w:val="000000"/>
          <w:sz w:val="24"/>
        </w:rPr>
        <w:t>.</w:t>
      </w:r>
    </w:p>
    <w:p>
      <w:pPr>
        <w:pStyle w:val="TextBody"/>
        <w:bidi w:val="0"/>
        <w:spacing w:lineRule="auto" w:line="288" w:before="112"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Annual Deferral Amount.</w:t>
      </w:r>
      <w:r>
        <w:rPr>
          <w:color w:val="000000"/>
        </w:rPr>
        <w:t xml:space="preserve"> </w:t>
      </w:r>
      <w:r>
        <w:rPr>
          <w:rFonts w:ascii="Times New Roman;serif" w:hAnsi="Times New Roman;serif"/>
          <w:b w:val="false"/>
          <w:color w:val="000000"/>
          <w:sz w:val="24"/>
        </w:rPr>
        <w:t>For each Plan Year, a Participant may elect to defer, as his or her Annual Deferral Amount, a percentage of his or her Base Annual Salary and/or Annual Bonus that is not less than an aggregate minimum of $2,000 of Base Annual Salary and Annual Bonus. For the avoidance of doubt, prior to the 2024 Plan Year, such Annual Deferral Amount may also have been a flat dollar election. If an election is made for less than stated minimum amounts, or if no election is made, the amount deferred shall be zero.</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35915"/>
                <wp:effectExtent l="0" t="0" r="0" b="0"/>
                <wp:wrapNone/>
                <wp:docPr id="88" name="Frame8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112"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Short Plan Year</w:t>
      </w:r>
      <w:r>
        <w:rPr>
          <w:rFonts w:ascii="Times New Roman;serif" w:hAnsi="Times New Roman;serif"/>
          <w:b w:val="false"/>
          <w:color w:val="000000"/>
          <w:sz w:val="24"/>
        </w:rPr>
        <w:t>. Notwithstanding the foregoing, if a Participant first becomes a Participant after the first day of a Plan Year, the minimum Annual Deferral Amount shall be an amount equal to the minimum set forth above, multiplied by a fraction, the numerator of which is the number of complete months remaining in the Plan Year and the denominator of which is 12.</w:t>
      </w:r>
    </w:p>
    <w:p>
      <w:pPr>
        <w:pStyle w:val="TextBody"/>
        <w:bidi w:val="0"/>
        <w:spacing w:lineRule="auto" w:line="288" w:before="248" w:after="283"/>
        <w:ind w:left="0" w:right="0" w:hanging="720"/>
        <w:jc w:val="left"/>
        <w:rPr/>
      </w:pPr>
      <w:r>
        <w:rPr>
          <w:rFonts w:ascii="Times New Roman;serif" w:hAnsi="Times New Roman;serif"/>
          <w:b w:val="false"/>
          <w:color w:val="000000"/>
          <w:sz w:val="24"/>
        </w:rPr>
        <w:t>3.2</w:t>
      </w:r>
      <w:r>
        <w:rPr>
          <w:rFonts w:ascii="Times New Roman;serif" w:hAnsi="Times New Roman;serif"/>
          <w:b w:val="false"/>
          <w:color w:val="000000"/>
          <w:sz w:val="24"/>
          <w:u w:val="single"/>
        </w:rPr>
        <w:t>Maximum Deferral</w:t>
      </w:r>
      <w:r>
        <w:rPr>
          <w:rFonts w:ascii="Times New Roman;serif" w:hAnsi="Times New Roman;serif"/>
          <w:b w:val="false"/>
          <w:color w:val="000000"/>
          <w:sz w:val="24"/>
        </w:rPr>
        <w:t>.</w:t>
      </w:r>
    </w:p>
    <w:p>
      <w:pPr>
        <w:pStyle w:val="TextBody"/>
        <w:bidi w:val="0"/>
        <w:spacing w:lineRule="auto" w:line="288" w:before="112"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Annual Salary and Annual Bonus</w:t>
      </w:r>
      <w:r>
        <w:rPr>
          <w:rFonts w:ascii="Times New Roman;serif" w:hAnsi="Times New Roman;serif"/>
          <w:b w:val="false"/>
          <w:color w:val="000000"/>
          <w:sz w:val="24"/>
        </w:rPr>
        <w:t>. For each Plan Year, a Participant may elect to defer, as his or her Annual Deferral Amount, Base Annual Salary and Annual Bonus up to the maximum percentages established by the Benefits Committee from time to time. The Benefits Committee may impose additional limitations on any Participant's Annual Deferral Amount in any Plan Year in which the Benefits Committee determines, in its sole discretion, that such additional limitation is in the best interests of the Sponsor.</w:t>
      </w:r>
    </w:p>
    <w:p>
      <w:pPr>
        <w:pStyle w:val="TextBody"/>
        <w:bidi w:val="0"/>
        <w:spacing w:lineRule="auto" w:line="288" w:before="112"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Short Plan Year</w:t>
      </w:r>
      <w:r>
        <w:rPr>
          <w:rFonts w:ascii="Times New Roman;serif" w:hAnsi="Times New Roman;serif"/>
          <w:b w:val="false"/>
          <w:color w:val="000000"/>
          <w:sz w:val="24"/>
        </w:rPr>
        <w:t>. Notwithstanding the foregoing, if an Employee first becomes a Participant after the first day of a Plan Year, the maximum Annual Deferral Amount (i) with respect to Base Annual Salary shall be limited to the amount of compensation not yet earned by the Participant as of the date the Participant submits an Election Form to the Benefits Committee for acceptance, and (ii) with respect to Annual Bonus shall be limited to those amounts which relate to services the Participant performed after the date the Participant submitted his or her Election Form to participate in the Plan.</w:t>
      </w:r>
    </w:p>
    <w:p>
      <w:pPr>
        <w:pStyle w:val="TextBody"/>
        <w:bidi w:val="0"/>
        <w:spacing w:lineRule="auto" w:line="288" w:before="112" w:after="283"/>
        <w:ind w:left="0" w:right="0" w:hanging="720"/>
        <w:jc w:val="left"/>
        <w:rPr/>
      </w:pPr>
      <w:r>
        <w:rPr>
          <w:rFonts w:ascii="Times New Roman;serif" w:hAnsi="Times New Roman;serif"/>
          <w:b w:val="false"/>
          <w:color w:val="000000"/>
          <w:sz w:val="24"/>
        </w:rPr>
        <w:t>3.3</w:t>
      </w:r>
      <w:r>
        <w:rPr>
          <w:rFonts w:ascii="Times New Roman;serif" w:hAnsi="Times New Roman;serif"/>
          <w:b w:val="false"/>
          <w:color w:val="000000"/>
          <w:sz w:val="24"/>
          <w:u w:val="single"/>
        </w:rPr>
        <w:t>Election to Defer; Effect of Election Form</w:t>
      </w:r>
      <w:r>
        <w:rPr>
          <w:rFonts w:ascii="Times New Roman;serif" w:hAnsi="Times New Roman;serif"/>
          <w:b w:val="false"/>
          <w:color w:val="000000"/>
          <w:sz w:val="24"/>
        </w:rPr>
        <w:t>.</w:t>
      </w:r>
    </w:p>
    <w:p>
      <w:pPr>
        <w:pStyle w:val="TextBody"/>
        <w:bidi w:val="0"/>
        <w:spacing w:lineRule="auto" w:line="288" w:before="112"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First Plan Year</w:t>
      </w:r>
      <w:r>
        <w:rPr>
          <w:rFonts w:ascii="Times New Roman;serif" w:hAnsi="Times New Roman;serif"/>
          <w:b w:val="false"/>
          <w:color w:val="000000"/>
          <w:sz w:val="24"/>
        </w:rPr>
        <w:t xml:space="preserve">. In connection with a Participant's commencement of participation in the Plan, the Participant shall make an irrevocable deferral election for the Plan Year in which the Participant commences participation in the Plan, along with such other elections as the Benefits Committee deems necessary or desirable under the Plan. For these elections to be valid, the Election Form must be completed and signed by the Participant, timely delivered to the Benefits Committee (in accordance with Section 2.2 above) and accepted by the Benefits Committee. A Participant shall designate on his or her Election Form whether all amounts deferred in such Plan Year are payable in the form of installments or in a lump </w:t>
      </w:r>
      <w:r>
        <w:rPr>
          <w:rFonts w:ascii="Times New Roman;serif" w:hAnsi="Times New Roman;serif"/>
          <w:b w:val="false"/>
          <w:color w:val="000000"/>
          <w:sz w:val="24"/>
          <w:u w:val="single"/>
        </w:rPr>
        <w:t>sum</w:t>
      </w:r>
      <w:r>
        <w:rPr>
          <w:color w:val="000000"/>
        </w:rPr>
        <w:t xml:space="preserve"> </w:t>
      </w:r>
      <w:r>
        <w:rPr>
          <w:rFonts w:ascii="Times New Roman;serif" w:hAnsi="Times New Roman;serif"/>
          <w:b w:val="false"/>
          <w:color w:val="000000"/>
          <w:sz w:val="24"/>
        </w:rPr>
        <w:t>upon Retirement and whether or not the Participant desires a Short-Term Payout. Such designation may be changed only to the extent provided in subsection (c) below.</w:t>
      </w:r>
    </w:p>
    <w:p>
      <w:pPr>
        <w:pStyle w:val="TextBody"/>
        <w:bidi w:val="0"/>
        <w:spacing w:lineRule="auto" w:line="288" w:before="112"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Subsequent Plan Years</w:t>
      </w:r>
      <w:r>
        <w:rPr>
          <w:rFonts w:ascii="Times New Roman;serif" w:hAnsi="Times New Roman;serif"/>
          <w:b w:val="false"/>
          <w:color w:val="000000"/>
          <w:sz w:val="24"/>
        </w:rPr>
        <w:t>. For each succeeding Plan Year, an irrevocable deferral election for that Plan Year, and such other elections as the Benefits Committee deems necessary or desirable under the Plan, shall be made by timely delivering to the Benefits Committee, in accordance with its rules and procedures, before the end of the Plan Year preceding the Plan Year for which the election is made, a new Election Form. The Participant shall designate on such Election Form whether or not he or she desires a Short-Term Payout. If no such Election Form is timely delivered for a Plan Year, the Annual Deferral Amount shall be zero for that Plan Year.</w:t>
      </w:r>
    </w:p>
    <w:p>
      <w:pPr>
        <w:pStyle w:val="TextBody"/>
        <w:bidi w:val="0"/>
        <w:spacing w:lineRule="auto" w:line="288" w:before="112"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Amendment of Distribution Election</w:t>
      </w:r>
      <w:r>
        <w:rPr>
          <w:rFonts w:ascii="Times New Roman;serif" w:hAnsi="Times New Roman;serif"/>
          <w:b w:val="false"/>
          <w:color w:val="000000"/>
          <w:sz w:val="24"/>
        </w:rPr>
        <w:t>. A Participant may amend his or her Election Form from time to time, in accordance with this subsection (c). Any such amendment shall be made in accordance with the procedures established by the Benefits Committee from time to time. With respect to a Participant's Post-2004 Account, a Participant may elect to delay the time when payments from his or her Account Balance would otherwise commence pursuant to his or her Election Form, provided that such election (i) will not be effective until twelve (12) months after the date the election to change is made (or such later date as indicated in the Election Form</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35915"/>
                <wp:effectExtent l="0" t="0" r="0" b="0"/>
                <wp:wrapNone/>
                <wp:docPr id="89" name="Frame8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112" w:after="283"/>
        <w:jc w:val="both"/>
        <w:rPr>
          <w:rFonts w:ascii="Times New Roman;serif" w:hAnsi="Times New Roman;serif"/>
          <w:b w:val="false"/>
          <w:color w:val="000000"/>
          <w:sz w:val="24"/>
        </w:rPr>
      </w:pPr>
      <w:r>
        <w:rPr>
          <w:rFonts w:ascii="Times New Roman;serif" w:hAnsi="Times New Roman;serif"/>
          <w:b w:val="false"/>
          <w:color w:val="000000"/>
          <w:sz w:val="24"/>
        </w:rPr>
        <w:t>as in effect from time to time), (ii) the payment is deferred for at least five (5) years from the date the payment would otherwise be paid (or commence to be paid if paid in installments), and (iii) the election is made at least thirteen (13) months before the date payment is scheduled to be paid (or commence to be paid in installments). With respect to a Participant's Pre-2005 Account, a Participant may elect to delay the time when payments from his or her Account Balance would otherwise commence pursuant to his or her existing election and/or change the form of payment applicable to such Pre-2005 Account pursuant to his or her existing election, provided that any such change shall not be given effect unless thirteen (13) months pass between the date on which such election is submitted to the Benefits Committee and the distribution date designated in such election form occurs.</w:t>
      </w:r>
    </w:p>
    <w:p>
      <w:pPr>
        <w:pStyle w:val="TextBody"/>
        <w:bidi w:val="0"/>
        <w:spacing w:lineRule="auto" w:line="288" w:before="112" w:after="283"/>
        <w:ind w:left="0" w:right="0" w:hanging="720"/>
        <w:jc w:val="left"/>
        <w:rPr/>
      </w:pPr>
      <w:r>
        <w:rPr>
          <w:rFonts w:ascii="Times New Roman;serif" w:hAnsi="Times New Roman;serif"/>
          <w:b w:val="false"/>
          <w:color w:val="000000"/>
          <w:sz w:val="24"/>
        </w:rPr>
        <w:t>3.4</w:t>
      </w:r>
      <w:r>
        <w:rPr>
          <w:rFonts w:ascii="Times New Roman;serif" w:hAnsi="Times New Roman;serif"/>
          <w:b w:val="false"/>
          <w:color w:val="000000"/>
          <w:sz w:val="24"/>
          <w:u w:val="single"/>
        </w:rPr>
        <w:t>Withholding of Annual Deferral Amounts</w:t>
      </w:r>
      <w:r>
        <w:rPr>
          <w:rFonts w:ascii="Times New Roman;serif" w:hAnsi="Times New Roman;serif"/>
          <w:b w:val="false"/>
          <w:color w:val="000000"/>
          <w:sz w:val="24"/>
        </w:rPr>
        <w:t>. For each Plan Year, the Base Annual Salary portion of the Annual Deferral Amount shall be withheld from each regularly scheduled Base Annual Salary payroll in equal amounts, as adjusted from time to time for increases and decreases in Base Annual Salary to the extent the Annual Deferral Amount is denominated as a percentage of Base Annual Salary. The Annual Bonus portion of the Annual Deferral Amount shall be withheld at the time the Annual Bonus is or otherwise would be paid to the Participant, whether or not this occurs during the Plan Year itself.</w:t>
      </w:r>
    </w:p>
    <w:p>
      <w:pPr>
        <w:pStyle w:val="TextBody"/>
        <w:bidi w:val="0"/>
        <w:spacing w:lineRule="auto" w:line="288" w:before="112" w:after="283"/>
        <w:ind w:left="0" w:right="0" w:hanging="720"/>
        <w:jc w:val="left"/>
        <w:rPr/>
      </w:pPr>
      <w:r>
        <w:rPr>
          <w:rFonts w:ascii="Times New Roman;serif" w:hAnsi="Times New Roman;serif"/>
          <w:b w:val="false"/>
          <w:color w:val="000000"/>
          <w:sz w:val="24"/>
        </w:rPr>
        <w:t>3.5</w:t>
      </w:r>
      <w:r>
        <w:rPr>
          <w:rFonts w:ascii="Times New Roman;serif" w:hAnsi="Times New Roman;serif"/>
          <w:b w:val="false"/>
          <w:color w:val="000000"/>
          <w:sz w:val="24"/>
          <w:u w:val="single"/>
        </w:rPr>
        <w:t>Annual 401(k) Restoration Matching Amount</w:t>
      </w:r>
      <w:r>
        <w:rPr>
          <w:rFonts w:ascii="Times New Roman;serif" w:hAnsi="Times New Roman;serif"/>
          <w:b w:val="false"/>
          <w:color w:val="000000"/>
          <w:sz w:val="24"/>
        </w:rPr>
        <w:t>. For each Plan Year during which a Participant participates in the Sponsor's 401(k) Plan and the Sponsor makes a matching contribution to such 401(k) Plan, the Sponsor shall credit a Participant's Annual 401(k) Restoration Matching Account under this Plan with an amount equal to the difference between (i) the amount the Sponsor contributed to the 401(k) Plan on behalf of such Participant during the Plan Year, and (ii) the amount that the Sponsor would have contributed to the 401(k) Plan on behalf of such Participant during such plan year had any deferrals of Base Annual Salary under this Plan been considered compensation under the 401(k) Plan, subject to the compensation limit under Section 401(a)(17) of the Code. The amount credited as a Participant's Annual 401(k) Restoration Matching Amount for any Plan Year under this Section 3.5 shall be credited to the Participant's 401(k) Restoration Matching Account on a date or dates to be determined by the Benefits Committee in its sole discretion.</w:t>
      </w:r>
    </w:p>
    <w:p>
      <w:pPr>
        <w:pStyle w:val="TextBody"/>
        <w:bidi w:val="0"/>
        <w:spacing w:lineRule="auto" w:line="288" w:before="112" w:after="283"/>
        <w:ind w:left="0" w:right="0" w:hanging="720"/>
        <w:jc w:val="left"/>
        <w:rPr/>
      </w:pPr>
      <w:r>
        <w:rPr>
          <w:rFonts w:ascii="Times New Roman;serif" w:hAnsi="Times New Roman;serif"/>
          <w:b w:val="false"/>
          <w:color w:val="000000"/>
          <w:sz w:val="24"/>
        </w:rPr>
        <w:t>3.6</w:t>
      </w:r>
      <w:r>
        <w:rPr>
          <w:rFonts w:ascii="Times New Roman;serif" w:hAnsi="Times New Roman;serif"/>
          <w:b w:val="false"/>
          <w:color w:val="000000"/>
          <w:sz w:val="24"/>
          <w:u w:val="single"/>
        </w:rPr>
        <w:t>Vesting</w:t>
      </w:r>
      <w:r>
        <w:rPr>
          <w:rFonts w:ascii="Times New Roman;serif" w:hAnsi="Times New Roman;serif"/>
          <w:b w:val="false"/>
          <w:color w:val="000000"/>
          <w:sz w:val="24"/>
        </w:rPr>
        <w:t>. A Participant shall at all times be 100% vested in his or her Deferral Account and 401(k) Restoration Matching Account.</w:t>
      </w:r>
    </w:p>
    <w:p>
      <w:pPr>
        <w:pStyle w:val="TextBody"/>
        <w:bidi w:val="0"/>
        <w:spacing w:lineRule="auto" w:line="288" w:before="112" w:after="283"/>
        <w:ind w:left="0" w:right="0" w:hanging="72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Crediting/Debiting of Account Balances</w:t>
      </w:r>
      <w:r>
        <w:rPr>
          <w:rFonts w:ascii="Times New Roman;serif" w:hAnsi="Times New Roman;serif"/>
          <w:b w:val="false"/>
          <w:color w:val="000000"/>
          <w:sz w:val="24"/>
        </w:rPr>
        <w:t>. In accordance with, and subject to, the rules and procedures that are established from time to time by the Benefits Committee, in its sole discretion, amounts shall be credited or debited to a Participant's Account Balance in accordance with the following rules:</w:t>
      </w:r>
    </w:p>
    <w:p>
      <w:pPr>
        <w:pStyle w:val="TextBody"/>
        <w:bidi w:val="0"/>
        <w:spacing w:lineRule="auto" w:line="288" w:before="112"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Measurement Funds</w:t>
      </w:r>
      <w:r>
        <w:rPr>
          <w:rFonts w:ascii="Times New Roman;serif" w:hAnsi="Times New Roman;serif"/>
          <w:b w:val="false"/>
          <w:color w:val="000000"/>
          <w:sz w:val="24"/>
        </w:rPr>
        <w:t>. The Participant may elect one or more of the measurement funds (the "Measurement Funds"), based on certain mutual funds or other investment indices, for the purpose of crediting or debiting additional amounts to his or her Account Balance. At the beginning of each Plan Year, the Benefits Committee shall provide the Participant with a list of Measurement Funds available. As necessary, the Benefits Committee may, in its sole discretion, discontinue, substitute or add a Measurement Fund.</w:t>
      </w:r>
    </w:p>
    <w:p>
      <w:pPr>
        <w:pStyle w:val="TextBody"/>
        <w:bidi w:val="0"/>
        <w:spacing w:lineRule="auto" w:line="288" w:before="112"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Election of Measurement Funds</w:t>
      </w:r>
      <w:r>
        <w:rPr>
          <w:rFonts w:ascii="Times New Roman;serif" w:hAnsi="Times New Roman;serif"/>
          <w:b w:val="false"/>
          <w:color w:val="000000"/>
          <w:sz w:val="24"/>
        </w:rPr>
        <w:t>. A Participant, in connection with his or her initial deferral election in accordance with Section 3.3(a) above, shall elect, on the Election Form, one or more Measurement Fund(s) (as described in Section 3.7(a) above) to be used to determine the amounts to be credited or debited to his or her Account Balance. The Participant may (but is not required to) subsequently elect at any time, by submitting an Election Form (or other form of communication) to the Benefits Committee that is accepted by the Benefits Committee, to</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35915"/>
                <wp:effectExtent l="0" t="0" r="0" b="0"/>
                <wp:wrapNone/>
                <wp:docPr id="90" name="Frame9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112" w:after="283"/>
        <w:jc w:val="both"/>
        <w:rPr>
          <w:rFonts w:ascii="Times New Roman;serif" w:hAnsi="Times New Roman;serif"/>
          <w:b w:val="false"/>
          <w:color w:val="000000"/>
          <w:sz w:val="24"/>
        </w:rPr>
      </w:pPr>
      <w:r>
        <w:rPr>
          <w:rFonts w:ascii="Times New Roman;serif" w:hAnsi="Times New Roman;serif"/>
          <w:b w:val="false"/>
          <w:color w:val="000000"/>
          <w:sz w:val="24"/>
        </w:rPr>
        <w:t>add or delete one or more Measurement Fund(s) to be used to determine the amounts to be credited or debited to his or her Account Balance, or to change the portion of his or her Account Balance allocated to each previously or newly elected Measurement Fund. If, in accordance with the previous sentence, an election is on any business day prior to 4:00 p.m. Eastern Standard Time, it shall be effective as of the day on which such election is made and shall continue thereafter for each subsequent day in which the Participant participates in the Plan, unless changed in accordance with this Section 3.7(b). If such election is made on any business day after 4:00 p.m. Eastern Standard Time or on any non-business day, it shall be effective as of the first business day following the day on which such election is made and shall continue thereafter for each subsequent day in which the Participant participates in the Plan, unless changed in accordance with this Section 3.7(b).</w:t>
      </w:r>
    </w:p>
    <w:p>
      <w:pPr>
        <w:pStyle w:val="TextBody"/>
        <w:bidi w:val="0"/>
        <w:spacing w:lineRule="auto" w:line="288" w:before="112"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Proportionate Allocation</w:t>
      </w:r>
      <w:r>
        <w:rPr>
          <w:rFonts w:ascii="Times New Roman;serif" w:hAnsi="Times New Roman;serif"/>
          <w:b w:val="false"/>
          <w:color w:val="000000"/>
          <w:sz w:val="24"/>
        </w:rPr>
        <w:t>. In making any election described in Section 3.7(b) above, the Participant shall specify on the Election Form (or such other form of communication acceptable to the Committee), in increments of one percent (1%), the percentage of his or her Account Balance to be allocated to a Measurement Fund (as if the Participant was making an investment in that Measurement Fund with that portion of his or her Account Balance).</w:t>
      </w:r>
    </w:p>
    <w:p>
      <w:pPr>
        <w:pStyle w:val="TextBody"/>
        <w:bidi w:val="0"/>
        <w:spacing w:lineRule="auto" w:line="288" w:before="112" w:after="283"/>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Crediting or Debiting Method</w:t>
      </w:r>
      <w:r>
        <w:rPr>
          <w:rFonts w:ascii="Times New Roman;serif" w:hAnsi="Times New Roman;serif"/>
          <w:b w:val="false"/>
          <w:color w:val="000000"/>
          <w:sz w:val="24"/>
        </w:rPr>
        <w:t>. The performance of each elected Measurement Fund (either positive or negative) will be determined by the Benefits Committee, in its reasonable discretion, based on the performance of the Measurement Funds themselves.</w:t>
      </w:r>
      <w:r>
        <w:rPr>
          <w:color w:val="000000"/>
          <w:u w:val="single"/>
        </w:rPr>
        <w:t xml:space="preserve"> </w:t>
      </w:r>
      <w:r>
        <w:rPr>
          <w:rFonts w:ascii="Times New Roman;serif" w:hAnsi="Times New Roman;serif"/>
          <w:b w:val="false"/>
          <w:color w:val="000000"/>
          <w:sz w:val="24"/>
        </w:rPr>
        <w:t>A Participant's Account Balance shall be credited or debited on a daily basis, if possible, based on the performance of each Measurement Fund selected by the Participant, such performance being determined by the Benefits Committee in its sole discretion.</w:t>
      </w:r>
    </w:p>
    <w:p>
      <w:pPr>
        <w:pStyle w:val="TextBody"/>
        <w:bidi w:val="0"/>
        <w:spacing w:lineRule="auto" w:line="288" w:before="112" w:after="283"/>
        <w:ind w:left="0" w:right="0" w:hanging="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Actual Investment</w:t>
      </w:r>
      <w:r>
        <w:rPr>
          <w:rFonts w:ascii="Times New Roman;serif" w:hAnsi="Times New Roman;serif"/>
          <w:b w:val="false"/>
          <w:color w:val="000000"/>
          <w:sz w:val="24"/>
        </w:rPr>
        <w:t xml:space="preserve">. Notwithstanding any other provision of this Plan that may be interpreted to the contrary, the Measurement Funds are to be used for measurement purposes only, and a Participant's election of any such Measurement Fund, the allocation to his or her Account Balance thereto, the calculation of additional amounts and the crediting or debiting of such amounts to a Participant's Account Balance </w:t>
      </w:r>
      <w:r>
        <w:rPr>
          <w:rFonts w:ascii="Times New Roman;serif" w:hAnsi="Times New Roman;serif"/>
          <w:b w:val="false"/>
          <w:color w:val="000000"/>
          <w:sz w:val="24"/>
          <w:u w:val="single"/>
        </w:rPr>
        <w:t>shall</w:t>
      </w:r>
      <w:r>
        <w:rPr>
          <w:color w:val="000000"/>
        </w:rPr>
        <w:t xml:space="preserve"> </w:t>
      </w:r>
      <w:r>
        <w:rPr>
          <w:rFonts w:ascii="Times New Roman;serif" w:hAnsi="Times New Roman;serif"/>
          <w:b w:val="false"/>
          <w:color w:val="000000"/>
          <w:sz w:val="24"/>
        </w:rPr>
        <w:t>not be considered or construed in any manner as an actual investment of his or her Account Balance in any such Measurement Fund. In the event that the Sponsor or the Trustee (as that term is defined in the Trust), in its own discretion, decides to invest in any of the investments on which the Measurement Funds are based, no Participant shall have any rights in or to such investments themselves. Without limiting the foregoing, a Participant's Account Balance shall at all times be a bookkeeping entry only and shall not represent any investment made on his or her behalf by the Sponsor or the Trust; the Participant shall at all times remain an unsecured creditor of the Sponsor.</w:t>
      </w:r>
    </w:p>
    <w:p>
      <w:pPr>
        <w:pStyle w:val="TextBody"/>
        <w:bidi w:val="0"/>
        <w:spacing w:lineRule="auto" w:line="288" w:before="112" w:after="283"/>
        <w:ind w:left="0" w:right="0" w:hanging="720"/>
        <w:jc w:val="left"/>
        <w:rPr/>
      </w:pPr>
      <w:r>
        <w:rPr>
          <w:rFonts w:ascii="Times New Roman;serif" w:hAnsi="Times New Roman;serif"/>
          <w:b w:val="false"/>
          <w:color w:val="000000"/>
          <w:sz w:val="24"/>
        </w:rPr>
        <w:t>3.8</w:t>
      </w:r>
      <w:r>
        <w:rPr>
          <w:rFonts w:ascii="Times New Roman;serif" w:hAnsi="Times New Roman;serif"/>
          <w:b w:val="false"/>
          <w:color w:val="000000"/>
          <w:sz w:val="24"/>
          <w:u w:val="single"/>
        </w:rPr>
        <w:t>FICA and Other Taxes</w:t>
      </w:r>
      <w:r>
        <w:rPr>
          <w:rFonts w:ascii="Times New Roman;serif" w:hAnsi="Times New Roman;serif"/>
          <w:b w:val="false"/>
          <w:color w:val="000000"/>
          <w:sz w:val="24"/>
        </w:rPr>
        <w:t>.</w:t>
      </w:r>
    </w:p>
    <w:p>
      <w:pPr>
        <w:pStyle w:val="TextBody"/>
        <w:bidi w:val="0"/>
        <w:spacing w:lineRule="auto" w:line="288" w:before="112"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Annual Deferral Amounts</w:t>
      </w:r>
      <w:r>
        <w:rPr>
          <w:rFonts w:ascii="Times New Roman;serif" w:hAnsi="Times New Roman;serif"/>
          <w:b w:val="false"/>
          <w:color w:val="000000"/>
          <w:sz w:val="24"/>
        </w:rPr>
        <w:t>. For each Plan Year in which an Annual Deferral Amount is being withheld from a Participant, the Sponsor shall withhold from that portion of the Participant's Base Annual Salary and Annual Bonus that is not being deferred, in a manner determined by the Sponsor, the Participant's share of FICA and other employment taxes on such Annual Deferral Amount. If necessary, the Benefits Committee may reduce the Annual Deferral Amount in order to comply with this Section 3.8.</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35915"/>
                <wp:effectExtent l="0" t="0" r="0" b="0"/>
                <wp:wrapNone/>
                <wp:docPr id="91" name="Frame9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112"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401(k) Restoration Matching Account</w:t>
      </w:r>
      <w:r>
        <w:rPr>
          <w:rFonts w:ascii="Times New Roman;serif" w:hAnsi="Times New Roman;serif"/>
          <w:b w:val="false"/>
          <w:color w:val="000000"/>
          <w:sz w:val="24"/>
        </w:rPr>
        <w:t>. When the Sponsor credits an Annual 401(k) Restoration Matching Amount to a Participant's 401(k) Restoration Matching Account, the Sponsor shall withhold from the Participant's Base Annual Salary and Annual Bonus, as applicable, that is not deferred, in a manner determined by the Sponsor, the Participant's share of FICA and other employment taxes. If necessary, the Benefits Committee may reduce the Participant's Annual 401(k) Restoration Matching Amount in order to comply with this Section 3.8.</w:t>
      </w:r>
    </w:p>
    <w:p>
      <w:pPr>
        <w:pStyle w:val="TextBody"/>
        <w:bidi w:val="0"/>
        <w:spacing w:lineRule="auto" w:line="288" w:before="112"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Distributions</w:t>
      </w:r>
      <w:r>
        <w:rPr>
          <w:rFonts w:ascii="Times New Roman;serif" w:hAnsi="Times New Roman;serif"/>
          <w:b w:val="false"/>
          <w:color w:val="000000"/>
          <w:sz w:val="24"/>
        </w:rPr>
        <w:t>. The Sponsor, or the trustee of the Trust, shall withhold from any payments made to a Participant under this Plan all federal, state and local income, employment and other taxes required to be withheld by the Sponsor, or the trustee of the Trust, in connection with such payments, in amounts and in a manner to be determined in the sole discretion of the Sponsor and the trustee of the Trust.</w:t>
      </w:r>
    </w:p>
    <w:p>
      <w:pPr>
        <w:pStyle w:val="TextBody"/>
        <w:bidi w:val="0"/>
        <w:spacing w:lineRule="auto" w:line="288" w:before="256" w:after="283"/>
        <w:jc w:val="center"/>
        <w:rPr/>
      </w:pPr>
      <w:r>
        <w:rPr>
          <w:rFonts w:ascii="Times New Roman;serif" w:hAnsi="Times New Roman;serif"/>
          <w:b/>
          <w:color w:val="000000"/>
          <w:sz w:val="24"/>
        </w:rPr>
        <w:t>ARTICLE 4</w:t>
        <w:br/>
      </w:r>
      <w:r>
        <w:rPr>
          <w:rFonts w:ascii="Times New Roman;serif" w:hAnsi="Times New Roman;serif"/>
          <w:b/>
          <w:color w:val="000000"/>
          <w:sz w:val="24"/>
          <w:u w:val="single"/>
        </w:rPr>
        <w:t>Short-Term Payout; Withdrawal Election</w:t>
      </w:r>
    </w:p>
    <w:p>
      <w:pPr>
        <w:pStyle w:val="TextBody"/>
        <w:bidi w:val="0"/>
        <w:spacing w:lineRule="auto" w:line="288" w:before="256" w:after="283"/>
        <w:ind w:left="0" w:right="0" w:hanging="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Short-Term Payout</w:t>
      </w:r>
      <w:r>
        <w:rPr>
          <w:rFonts w:ascii="Times New Roman;serif" w:hAnsi="Times New Roman;serif"/>
          <w:b w:val="false"/>
          <w:color w:val="000000"/>
          <w:sz w:val="24"/>
        </w:rPr>
        <w:t>. In connection with each election to defer an Annual Deferral Amount, a Participant may irrevocably elect to receive a future "Short-Term Payout" from the Plan with respect to all or a portion of such Annual Deferral Amount. The Short-Term Payout shall be a lump sum payment in an amount that is equal to the portion of the Annual Deferral Amount the Participant elected to have distributed as a Short-Term Payout plus amounts credited or debited in the manner provided in Section 3.7 above on that amount, calculated as of the close of business on or around the date on which the Short-Term Payout becomes payable, as determined by the Benefits Committee in its sole discretion. Subject to the other terms and conditions of this Plan, each Short-Term Payout elected shall be paid out during a fifteen (15) day period commencing immediately after the first day of any Plan Year designated by the Participant. The Plan Year designated by the Participant must be at least five Plan Years after the end of the Plan Year in which the Annual Deferral Amount is actually deferred. By way of example, if a five-year Short-Term Payout is elected for Annual Deferral Amounts that are deferred in the Plan Year commencing January 1, 2026, the five-year Short-Term Payout would become payable during a fifteen (15) day period commencing January 1, 2032.</w:t>
      </w:r>
    </w:p>
    <w:p>
      <w:pPr>
        <w:pStyle w:val="TextBody"/>
        <w:bidi w:val="0"/>
        <w:spacing w:lineRule="auto" w:line="288" w:before="112" w:after="283"/>
        <w:ind w:left="0" w:right="0" w:hanging="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Other Benefits Take Precedence Over Short-Term</w:t>
      </w:r>
      <w:r>
        <w:rPr>
          <w:rFonts w:ascii="Times New Roman;serif" w:hAnsi="Times New Roman;serif"/>
          <w:b w:val="false"/>
          <w:color w:val="000000"/>
          <w:sz w:val="24"/>
        </w:rPr>
        <w:t>. Should an event occur that triggers a benefit under Article 5, 6, or 7, any Annual Deferral Amount, plus amounts credited or debited thereon, that is subject to a Short-Term Payout election under Section 4.1 shall not be paid in accordance with Section 4.1 but shall be paid in accordance with the other applicable Article.</w:t>
      </w:r>
    </w:p>
    <w:p>
      <w:pPr>
        <w:pStyle w:val="TextBody"/>
        <w:bidi w:val="0"/>
        <w:spacing w:lineRule="auto" w:line="288" w:before="112" w:after="283"/>
        <w:ind w:left="0" w:right="0" w:hanging="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Withdrawal Election</w:t>
      </w:r>
      <w:r>
        <w:rPr>
          <w:rFonts w:ascii="Times New Roman;serif" w:hAnsi="Times New Roman;serif"/>
          <w:b w:val="false"/>
          <w:color w:val="000000"/>
          <w:sz w:val="24"/>
        </w:rPr>
        <w:t>. A Participant may elect, at any time, to withdraw all or any portion of his or her Pre-2005 Account Balance. For purposes of this Section 4.3, the value of a Participant's Account Balance shall be calculated as of the close of business on or around the date the Participant's benefit distribution is processed, as determined by the Benefits Committee, in its sole discretion, less a withdrawal penalty equal to 10% of such amount (the net amount shall be referred to as the "Withdrawal Amount"). This election can be made at any time, before or after Retirement, death or Separation from Service, and whether or not the Participant (or Beneficiary) is in the process of being paid pursuant to an installment payment schedule. The Participant (or his or her Beneficiary) shall make this election by giving the Benefits Committee advance written notice of the election in a form determined from time to time by the Benefits Committee. The Participant (or his or her Beneficiary) shall be paid the Withdrawal Amount within fifteen (15) days of his or her election. Once the Withdrawal Amount is paid, the Participant's participation in the Plan shall be suspended for the immediately following Plan Year.</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35915"/>
                <wp:effectExtent l="0" t="0" r="0" b="0"/>
                <wp:wrapNone/>
                <wp:docPr id="92" name="Frame9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256" w:after="283"/>
        <w:jc w:val="center"/>
        <w:rPr/>
      </w:pPr>
      <w:r>
        <w:rPr>
          <w:rFonts w:ascii="Times New Roman;serif" w:hAnsi="Times New Roman;serif"/>
          <w:b/>
          <w:color w:val="000000"/>
          <w:sz w:val="24"/>
        </w:rPr>
        <w:t>ARTICLE 5</w:t>
        <w:br/>
      </w:r>
      <w:r>
        <w:rPr>
          <w:rFonts w:ascii="Times New Roman;serif" w:hAnsi="Times New Roman;serif"/>
          <w:b/>
          <w:color w:val="000000"/>
          <w:sz w:val="24"/>
          <w:u w:val="single"/>
        </w:rPr>
        <w:t>Retirement Benefit</w:t>
      </w:r>
    </w:p>
    <w:p>
      <w:pPr>
        <w:pStyle w:val="TextBody"/>
        <w:bidi w:val="0"/>
        <w:spacing w:lineRule="auto" w:line="288" w:before="256" w:after="283"/>
        <w:ind w:left="0" w:right="0" w:hanging="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Retirement Benefit</w:t>
      </w:r>
      <w:r>
        <w:rPr>
          <w:rFonts w:ascii="Times New Roman;serif" w:hAnsi="Times New Roman;serif"/>
          <w:b w:val="false"/>
          <w:color w:val="000000"/>
          <w:sz w:val="24"/>
        </w:rPr>
        <w:t>. A Participant who Retires shall receive, as a Retirement Benefit, his or her Account Balance calculated as of the close of business on or around the date the Participant's benefit distribution is processed, as determined by the Benefits Committee in its sole discretion.</w:t>
      </w:r>
    </w:p>
    <w:p>
      <w:pPr>
        <w:pStyle w:val="TextBody"/>
        <w:bidi w:val="0"/>
        <w:spacing w:lineRule="auto" w:line="288" w:before="112" w:after="283"/>
        <w:ind w:left="0" w:right="0" w:hanging="7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Payment of Retirement Benefit</w:t>
      </w:r>
      <w:r>
        <w:rPr>
          <w:rFonts w:ascii="Times New Roman;serif" w:hAnsi="Times New Roman;serif"/>
          <w:b w:val="false"/>
          <w:color w:val="000000"/>
          <w:sz w:val="24"/>
        </w:rPr>
        <w:t>. A Participant, in connection with his or her commencement of participation in the Plan, shall elect on an Election Form to receive the Retirement Benefit in a lump sum or pursuant to an Annual Installment Method of up to 15 years. The Participant may, pursuant to the provisions of Section 3.3(c), change his or her election to an allowable alternative payout period by submitting a new Election Form to the Benefits Committee. If a Participant does not make any election with respect to the payment of the Retirement Benefit, or if the Participant's Account Balance on the date of the Participant's Retirement is less than $25,000, then such benefit shall be payable in a lump sum. With respect to the Participant's Pre-2005 Account, the lump sum payment shall be made, or installment payments shall commence, during the first fifteen (15) day period after the last day of the Plan Year in which the Participant Retires. With respect to the Participant's Post-2004 Account, the lump sum payment shall be made, or installments shall commence, during the first fifteen (15) day period after the last day of the Plan Year in which the Participant Retires, or six (6) months after the Participant Retires, if later.</w:t>
      </w:r>
    </w:p>
    <w:p>
      <w:pPr>
        <w:pStyle w:val="TextBody"/>
        <w:bidi w:val="0"/>
        <w:spacing w:lineRule="auto" w:line="288" w:before="112" w:after="283"/>
        <w:ind w:left="0" w:right="0" w:hanging="720"/>
        <w:jc w:val="left"/>
        <w:rPr/>
      </w:pPr>
      <w:r>
        <w:rPr>
          <w:rFonts w:ascii="Times New Roman;serif" w:hAnsi="Times New Roman;serif"/>
          <w:b w:val="false"/>
          <w:color w:val="000000"/>
          <w:sz w:val="24"/>
        </w:rPr>
        <w:t>5.3</w:t>
      </w:r>
      <w:r>
        <w:rPr>
          <w:rFonts w:ascii="Times New Roman;serif" w:hAnsi="Times New Roman;serif"/>
          <w:b w:val="false"/>
          <w:color w:val="000000"/>
          <w:sz w:val="24"/>
          <w:u w:val="single"/>
        </w:rPr>
        <w:t>Death Prior to Completion of Retirement Benefit</w:t>
      </w:r>
      <w:r>
        <w:rPr>
          <w:rFonts w:ascii="Times New Roman;serif" w:hAnsi="Times New Roman;serif"/>
          <w:b w:val="false"/>
          <w:color w:val="000000"/>
          <w:sz w:val="24"/>
        </w:rPr>
        <w:t>. If a Participant dies after Retirement but before the Retirement Benefit is paid in full, the Participant's Beneficiary shall receive a lump sum payment that is equal to the Participant's unpaid remaining Account Balance calculated as of the close of business on or around the date the benefit distribution is processed, as determined by the Benefits Committee in its sole discretion. The lump sum payment shall be made no later than fifteen (15) days after the Benefits Committee is provided with proof that is satisfactory to the Benefits Committee of the Participant's death.</w:t>
      </w:r>
    </w:p>
    <w:p>
      <w:pPr>
        <w:pStyle w:val="TextBody"/>
        <w:bidi w:val="0"/>
        <w:spacing w:lineRule="auto" w:line="288" w:before="256" w:after="283"/>
        <w:jc w:val="center"/>
        <w:rPr/>
      </w:pPr>
      <w:r>
        <w:rPr>
          <w:rFonts w:ascii="Times New Roman;serif" w:hAnsi="Times New Roman;serif"/>
          <w:b/>
          <w:color w:val="000000"/>
          <w:sz w:val="24"/>
        </w:rPr>
        <w:t>ARTICLE 6</w:t>
        <w:br/>
      </w:r>
      <w:r>
        <w:rPr>
          <w:rFonts w:ascii="Times New Roman;serif" w:hAnsi="Times New Roman;serif"/>
          <w:b/>
          <w:color w:val="000000"/>
          <w:sz w:val="24"/>
          <w:u w:val="single"/>
        </w:rPr>
        <w:t>Pre-Retirement Survivor Benefit</w:t>
      </w:r>
    </w:p>
    <w:p>
      <w:pPr>
        <w:pStyle w:val="TextBody"/>
        <w:bidi w:val="0"/>
        <w:spacing w:lineRule="auto" w:line="288" w:before="256" w:after="283"/>
        <w:ind w:left="0" w:right="0" w:hanging="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Pre-Retirement Survivor Benefit</w:t>
      </w:r>
      <w:r>
        <w:rPr>
          <w:rFonts w:ascii="Times New Roman;serif" w:hAnsi="Times New Roman;serif"/>
          <w:b w:val="false"/>
          <w:color w:val="000000"/>
          <w:sz w:val="24"/>
        </w:rPr>
        <w:t>. If the Participant dies before he or she Retires or experiences a Separation from Service, the Participant's Beneficiary shall receive a Pre-Retirement Survivor Benefit equal to the Participant's Account Balance calculated as of the close of business on or around the date the benefit distribution is processed, as determined by the Benefits Committee in its sole discretion.</w:t>
      </w:r>
    </w:p>
    <w:p>
      <w:pPr>
        <w:pStyle w:val="TextBody"/>
        <w:bidi w:val="0"/>
        <w:spacing w:lineRule="auto" w:line="288" w:before="112" w:after="283"/>
        <w:ind w:left="0" w:right="0" w:hanging="7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Payment of Pre-Retirement Survivor Benefit</w:t>
      </w:r>
      <w:r>
        <w:rPr>
          <w:rFonts w:ascii="Times New Roman;serif" w:hAnsi="Times New Roman;serif"/>
          <w:b w:val="false"/>
          <w:color w:val="000000"/>
          <w:sz w:val="24"/>
        </w:rPr>
        <w:t>. The Pre-Retirement Survivor Benefit shall be paid to the Participant's Beneficiary in a lump sum payment no later than fifteen (15) days after the Benefits Committee is provided with proof that is satisfactory to the Benefits Committee of the Participant's death.</w:t>
      </w:r>
    </w:p>
    <w:p>
      <w:pPr>
        <w:pStyle w:val="TextBody"/>
        <w:bidi w:val="0"/>
        <w:spacing w:lineRule="auto" w:line="288" w:before="256" w:after="283"/>
        <w:jc w:val="center"/>
        <w:rPr/>
      </w:pPr>
      <w:r>
        <w:rPr>
          <w:rFonts w:ascii="Times New Roman;serif" w:hAnsi="Times New Roman;serif"/>
          <w:b/>
          <w:color w:val="000000"/>
          <w:sz w:val="24"/>
        </w:rPr>
        <w:t>ARTICLE 7</w:t>
        <w:br/>
      </w:r>
      <w:r>
        <w:rPr>
          <w:rFonts w:ascii="Times New Roman;serif" w:hAnsi="Times New Roman;serif"/>
          <w:b/>
          <w:color w:val="000000"/>
          <w:sz w:val="24"/>
          <w:u w:val="single"/>
        </w:rPr>
        <w:t>Termination Benefit</w:t>
      </w:r>
    </w:p>
    <w:p>
      <w:pPr>
        <w:pStyle w:val="TextBody"/>
        <w:bidi w:val="0"/>
        <w:spacing w:lineRule="auto" w:line="288" w:before="256" w:after="283"/>
        <w:ind w:left="0" w:right="0" w:hanging="720"/>
        <w:jc w:val="left"/>
        <w:rPr/>
      </w:pPr>
      <w:r>
        <w:rPr>
          <w:rFonts w:ascii="Times New Roman;serif" w:hAnsi="Times New Roman;serif"/>
          <w:b w:val="false"/>
          <w:color w:val="000000"/>
          <w:sz w:val="24"/>
        </w:rPr>
        <w:t>7.1</w:t>
      </w:r>
      <w:r>
        <w:rPr>
          <w:rFonts w:ascii="Times New Roman;serif" w:hAnsi="Times New Roman;serif"/>
          <w:b w:val="false"/>
          <w:color w:val="000000"/>
          <w:sz w:val="24"/>
          <w:u w:val="single"/>
        </w:rPr>
        <w:t>Termination Benefit</w:t>
      </w:r>
      <w:r>
        <w:rPr>
          <w:rFonts w:ascii="Times New Roman;serif" w:hAnsi="Times New Roman;serif"/>
          <w:b w:val="false"/>
          <w:color w:val="000000"/>
          <w:sz w:val="24"/>
        </w:rPr>
        <w:t>. If a Participant experiences a Separation from Service prior to his or her Retirement or death, the Participant shall receive a Termination Benefit, which shall be equal to the Participant's Account Balance calculated as of the close of business on or around the date the benefit distribution is processed, as determined by the Benefits Committee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35915"/>
                <wp:effectExtent l="0" t="0" r="0" b="0"/>
                <wp:wrapNone/>
                <wp:docPr id="93" name="Frame9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112" w:after="283"/>
        <w:ind w:left="0" w:right="0" w:hanging="720"/>
        <w:jc w:val="left"/>
        <w:rPr/>
      </w:pPr>
      <w:r>
        <w:rPr>
          <w:rFonts w:ascii="Times New Roman;serif" w:hAnsi="Times New Roman;serif"/>
          <w:b w:val="false"/>
          <w:color w:val="000000"/>
          <w:sz w:val="24"/>
        </w:rPr>
        <w:t>7.2</w:t>
      </w:r>
      <w:r>
        <w:rPr>
          <w:rFonts w:ascii="Times New Roman;serif" w:hAnsi="Times New Roman;serif"/>
          <w:b w:val="false"/>
          <w:color w:val="000000"/>
          <w:sz w:val="24"/>
          <w:u w:val="single"/>
        </w:rPr>
        <w:t>Payment of Termination Benefit</w:t>
      </w:r>
      <w:r>
        <w:rPr>
          <w:rFonts w:ascii="Times New Roman;serif" w:hAnsi="Times New Roman;serif"/>
          <w:b w:val="false"/>
          <w:color w:val="000000"/>
          <w:sz w:val="24"/>
        </w:rPr>
        <w:t>. With respect to the Participant's Pre-2005 Account, the Participant shall receive his or her Termination Benefit in a lump sum payment during the first fifteen (15) day period after the last day of the Plan Year in which the Participant experiences the Separation from Service. With respect to the Participant's Post-2004 Account, the Participant shall receive his or her Termination Benefit in a lump sum during the first fifteen (15) day period after the last day of the Plan Year in which the Participant experiences the Separation from Service, or six (6) months after the Participant's Separation from Service, whichever is later.</w:t>
      </w:r>
    </w:p>
    <w:p>
      <w:pPr>
        <w:pStyle w:val="TextBody"/>
        <w:bidi w:val="0"/>
        <w:spacing w:lineRule="auto" w:line="288" w:before="256" w:after="283"/>
        <w:jc w:val="center"/>
        <w:rPr/>
      </w:pPr>
      <w:r>
        <w:rPr>
          <w:rFonts w:ascii="Times New Roman;serif" w:hAnsi="Times New Roman;serif"/>
          <w:b/>
          <w:color w:val="000000"/>
          <w:sz w:val="24"/>
        </w:rPr>
        <w:t>ARTICLE 8</w:t>
        <w:br/>
      </w:r>
      <w:r>
        <w:rPr>
          <w:rFonts w:ascii="Times New Roman;serif" w:hAnsi="Times New Roman;serif"/>
          <w:b/>
          <w:color w:val="000000"/>
          <w:sz w:val="24"/>
          <w:u w:val="single"/>
        </w:rPr>
        <w:t>Beneficiary Designation</w:t>
      </w:r>
    </w:p>
    <w:p>
      <w:pPr>
        <w:pStyle w:val="TextBody"/>
        <w:bidi w:val="0"/>
        <w:spacing w:lineRule="auto" w:line="288" w:before="256" w:after="283"/>
        <w:ind w:left="0" w:right="0" w:hanging="720"/>
        <w:jc w:val="left"/>
        <w:rPr/>
      </w:pPr>
      <w:r>
        <w:rPr>
          <w:rFonts w:ascii="Times New Roman;serif" w:hAnsi="Times New Roman;serif"/>
          <w:b w:val="false"/>
          <w:color w:val="000000"/>
          <w:sz w:val="24"/>
        </w:rPr>
        <w:t>8.1</w:t>
      </w:r>
      <w:r>
        <w:rPr>
          <w:rFonts w:ascii="Times New Roman;serif" w:hAnsi="Times New Roman;serif"/>
          <w:b w:val="false"/>
          <w:color w:val="000000"/>
          <w:sz w:val="24"/>
          <w:u w:val="single"/>
        </w:rPr>
        <w:t>Beneficiary</w:t>
      </w:r>
      <w:r>
        <w:rPr>
          <w:rFonts w:ascii="Times New Roman;serif" w:hAnsi="Times New Roman;serif"/>
          <w:b w:val="false"/>
          <w:color w:val="000000"/>
          <w:sz w:val="24"/>
        </w:rPr>
        <w:t>. Each Participant shall have the right, at any time, to designate his or her Beneficiary(ies) (both primary as well as contingent) to receive any benefits payable under the Plan to a beneficiary upon the death of a Participant. The Beneficiary designated under this Plan may be the same as or different from the Beneficiary designation under any other plan of the Sponsor in which the Participant participates.</w:t>
      </w:r>
    </w:p>
    <w:p>
      <w:pPr>
        <w:pStyle w:val="TextBody"/>
        <w:bidi w:val="0"/>
        <w:spacing w:lineRule="auto" w:line="288" w:before="112" w:after="283"/>
        <w:ind w:left="0" w:right="0" w:hanging="720"/>
        <w:jc w:val="left"/>
        <w:rPr/>
      </w:pPr>
      <w:r>
        <w:rPr>
          <w:rFonts w:ascii="Times New Roman;serif" w:hAnsi="Times New Roman;serif"/>
          <w:b w:val="false"/>
          <w:color w:val="000000"/>
          <w:sz w:val="24"/>
        </w:rPr>
        <w:t>8.2</w:t>
      </w:r>
      <w:r>
        <w:rPr>
          <w:rFonts w:ascii="Times New Roman;serif" w:hAnsi="Times New Roman;serif"/>
          <w:b w:val="false"/>
          <w:color w:val="000000"/>
          <w:sz w:val="24"/>
          <w:u w:val="single"/>
        </w:rPr>
        <w:t>Beneficiary Designation; Change; Spousal Consent</w:t>
      </w:r>
      <w:r>
        <w:rPr>
          <w:rFonts w:ascii="Times New Roman;serif" w:hAnsi="Times New Roman;serif"/>
          <w:b w:val="false"/>
          <w:color w:val="000000"/>
          <w:sz w:val="24"/>
        </w:rPr>
        <w:t>. A Participant shall designate his or her Beneficiary by completing and signing the Beneficiary Designation Form and returning it to the Benefits Committee or its designated agent. A Participant shall have the right to change a Beneficiary by completing, signing and otherwise complying with the terms of the Beneficiary Designation Form and the Benefits Committee's rules and procedures, as in effect from time to time. If the Participant resides in a community property state and names someone other than his or her spouse as a Beneficiary, a spousal consent, in the form designated by the Benefits Committee, must be signed by that Participant's spouse and returned to the Benefits Committee. Upon the acceptance by the Benefits Committee of a new Beneficiary Designation Form, all Beneficiary designations previously filed shall be canceled. The Benefits Committee shall be entitled to rely on the last Beneficiary Designation Form filed by the Participant and accepted by the Benefits Committee prior to his or her death.</w:t>
      </w:r>
    </w:p>
    <w:p>
      <w:pPr>
        <w:pStyle w:val="TextBody"/>
        <w:bidi w:val="0"/>
        <w:spacing w:lineRule="auto" w:line="288" w:before="112" w:after="283"/>
        <w:ind w:left="0" w:right="0" w:hanging="720"/>
        <w:jc w:val="left"/>
        <w:rPr/>
      </w:pPr>
      <w:r>
        <w:rPr>
          <w:rFonts w:ascii="Times New Roman;serif" w:hAnsi="Times New Roman;serif"/>
          <w:b w:val="false"/>
          <w:color w:val="000000"/>
          <w:sz w:val="24"/>
        </w:rPr>
        <w:t>8.3</w:t>
      </w:r>
      <w:r>
        <w:rPr>
          <w:rFonts w:ascii="Times New Roman;serif" w:hAnsi="Times New Roman;serif"/>
          <w:b w:val="false"/>
          <w:color w:val="000000"/>
          <w:sz w:val="24"/>
          <w:u w:val="single"/>
        </w:rPr>
        <w:t>Acknowledgment</w:t>
      </w:r>
      <w:r>
        <w:rPr>
          <w:rFonts w:ascii="Times New Roman;serif" w:hAnsi="Times New Roman;serif"/>
          <w:b w:val="false"/>
          <w:color w:val="000000"/>
          <w:sz w:val="24"/>
        </w:rPr>
        <w:t>. No designation or change in designation of a Beneficiary shall be effective until received and acknowledged in writing by the Benefits Committee or its designated agent.</w:t>
      </w:r>
    </w:p>
    <w:p>
      <w:pPr>
        <w:pStyle w:val="TextBody"/>
        <w:bidi w:val="0"/>
        <w:spacing w:lineRule="auto" w:line="288" w:before="112" w:after="283"/>
        <w:ind w:left="0" w:right="0" w:hanging="720"/>
        <w:jc w:val="left"/>
        <w:rPr/>
      </w:pPr>
      <w:r>
        <w:rPr>
          <w:rFonts w:ascii="Times New Roman;serif" w:hAnsi="Times New Roman;serif"/>
          <w:b w:val="false"/>
          <w:color w:val="000000"/>
          <w:sz w:val="24"/>
        </w:rPr>
        <w:t>8.4</w:t>
      </w:r>
      <w:r>
        <w:rPr>
          <w:rFonts w:ascii="Times New Roman;serif" w:hAnsi="Times New Roman;serif"/>
          <w:b w:val="false"/>
          <w:color w:val="000000"/>
          <w:sz w:val="24"/>
          <w:u w:val="single"/>
        </w:rPr>
        <w:t>No Beneficiary Designation</w:t>
      </w:r>
      <w:r>
        <w:rPr>
          <w:rFonts w:ascii="Times New Roman;serif" w:hAnsi="Times New Roman;serif"/>
          <w:b w:val="false"/>
          <w:color w:val="000000"/>
          <w:sz w:val="24"/>
        </w:rPr>
        <w:t>. If a Participant fails to designate a Beneficiary as provided in Sections 8.1, 8.2 and 8.3 above or, if all designated Beneficiaries predecease the Participant or die prior to complete distribution of the Participant's benefits, then the Participant's designated Beneficiary shall be deemed to be his or her surviving spouse. If the Participant has no surviving spouse, the benefits remaining under the Plan to be paid to a Beneficiary shall be payable to the executor or personal representative of the Participant's estate.</w:t>
      </w:r>
    </w:p>
    <w:p>
      <w:pPr>
        <w:pStyle w:val="TextBody"/>
        <w:bidi w:val="0"/>
        <w:spacing w:lineRule="auto" w:line="288" w:before="112" w:after="283"/>
        <w:ind w:left="0" w:right="0" w:hanging="720"/>
        <w:jc w:val="left"/>
        <w:rPr/>
      </w:pPr>
      <w:r>
        <w:rPr>
          <w:rFonts w:ascii="Times New Roman;serif" w:hAnsi="Times New Roman;serif"/>
          <w:b w:val="false"/>
          <w:color w:val="000000"/>
          <w:sz w:val="24"/>
        </w:rPr>
        <w:t>8.5</w:t>
      </w:r>
      <w:r>
        <w:rPr>
          <w:rFonts w:ascii="Times New Roman;serif" w:hAnsi="Times New Roman;serif"/>
          <w:b w:val="false"/>
          <w:color w:val="000000"/>
          <w:sz w:val="24"/>
          <w:u w:val="single"/>
        </w:rPr>
        <w:t>Doubt as to Beneficiary</w:t>
      </w:r>
      <w:r>
        <w:rPr>
          <w:rFonts w:ascii="Times New Roman;serif" w:hAnsi="Times New Roman;serif"/>
          <w:b w:val="false"/>
          <w:color w:val="000000"/>
          <w:sz w:val="24"/>
        </w:rPr>
        <w:t>. If the Benefits Committee has any doubt as to the proper Beneficiary to receive payments pursuant to this Plan, the Benefits Committee shall have the right, exercisable in its discretion, to cause the Sponsor to withhold such payments until this matter is resolved to the Benefits Committee's satisfaction.</w:t>
      </w:r>
    </w:p>
    <w:p>
      <w:pPr>
        <w:pStyle w:val="TextBody"/>
        <w:bidi w:val="0"/>
        <w:spacing w:lineRule="auto" w:line="288" w:before="112" w:after="283"/>
        <w:ind w:left="0" w:right="0" w:hanging="720"/>
        <w:jc w:val="left"/>
        <w:rPr/>
      </w:pPr>
      <w:r>
        <w:rPr>
          <w:rFonts w:ascii="Times New Roman;serif" w:hAnsi="Times New Roman;serif"/>
          <w:b w:val="false"/>
          <w:color w:val="000000"/>
          <w:sz w:val="24"/>
        </w:rPr>
        <w:t>8.6</w:t>
      </w:r>
      <w:r>
        <w:rPr>
          <w:rFonts w:ascii="Times New Roman;serif" w:hAnsi="Times New Roman;serif"/>
          <w:b w:val="false"/>
          <w:color w:val="000000"/>
          <w:sz w:val="24"/>
          <w:u w:val="single"/>
        </w:rPr>
        <w:t>Discharge of Obligations</w:t>
      </w:r>
      <w:r>
        <w:rPr>
          <w:rFonts w:ascii="Times New Roman;serif" w:hAnsi="Times New Roman;serif"/>
          <w:b w:val="false"/>
          <w:color w:val="000000"/>
          <w:sz w:val="24"/>
        </w:rPr>
        <w:t>. The payment of benefits under the Plan to a Beneficiary shall fully and completely discharge the Sponsor and the Benefits Committee from all further obligations under this Plan with respect to the Participant, and that Participant's participation in the Plan shall terminate upon such full payment of benefits.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35915"/>
                <wp:effectExtent l="0" t="0" r="0" b="0"/>
                <wp:wrapNone/>
                <wp:docPr id="94" name="Frame9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256" w:after="283"/>
        <w:jc w:val="center"/>
        <w:rPr/>
      </w:pPr>
      <w:r>
        <w:rPr>
          <w:rFonts w:ascii="Times New Roman;serif" w:hAnsi="Times New Roman;serif"/>
          <w:b/>
          <w:color w:val="000000"/>
          <w:sz w:val="24"/>
        </w:rPr>
        <w:t>ARTICLE 9</w:t>
        <w:br/>
      </w:r>
      <w:r>
        <w:rPr>
          <w:rFonts w:ascii="Times New Roman;serif" w:hAnsi="Times New Roman;serif"/>
          <w:b/>
          <w:color w:val="000000"/>
          <w:sz w:val="24"/>
          <w:u w:val="single"/>
        </w:rPr>
        <w:t>Leave of Absence</w:t>
      </w:r>
    </w:p>
    <w:p>
      <w:pPr>
        <w:pStyle w:val="TextBody"/>
        <w:bidi w:val="0"/>
        <w:spacing w:lineRule="auto" w:line="288" w:before="256" w:after="283"/>
        <w:ind w:left="0" w:right="0" w:hanging="720"/>
        <w:jc w:val="left"/>
        <w:rPr/>
      </w:pPr>
      <w:r>
        <w:rPr>
          <w:rFonts w:ascii="Times New Roman;serif" w:hAnsi="Times New Roman;serif"/>
          <w:b w:val="false"/>
          <w:color w:val="000000"/>
          <w:sz w:val="24"/>
        </w:rPr>
        <w:t>9.1</w:t>
      </w:r>
      <w:r>
        <w:rPr>
          <w:rFonts w:ascii="Times New Roman;serif" w:hAnsi="Times New Roman;serif"/>
          <w:b w:val="false"/>
          <w:color w:val="000000"/>
          <w:sz w:val="24"/>
          <w:u w:val="single"/>
        </w:rPr>
        <w:t>Paid Leave of Absence</w:t>
      </w:r>
      <w:r>
        <w:rPr>
          <w:rFonts w:ascii="Times New Roman;serif" w:hAnsi="Times New Roman;serif"/>
          <w:b w:val="false"/>
          <w:color w:val="000000"/>
          <w:sz w:val="24"/>
        </w:rPr>
        <w:t>. If a Participant is authorized by the Sponsor for any reason to take a paid leave of absence from the employment of the Sponsor, the Participant shall continue to be considered employed by the Sponsor and the Annual Deferral Amount shall continue to be withheld during such paid leave of absence in accordance with Section 3.3.</w:t>
      </w:r>
    </w:p>
    <w:p>
      <w:pPr>
        <w:pStyle w:val="TextBody"/>
        <w:bidi w:val="0"/>
        <w:spacing w:lineRule="auto" w:line="288" w:before="112" w:after="283"/>
        <w:ind w:left="0" w:right="0" w:hanging="7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Unpaid Leave of Absence</w:t>
      </w:r>
      <w:r>
        <w:rPr>
          <w:rFonts w:ascii="Times New Roman;serif" w:hAnsi="Times New Roman;serif"/>
          <w:b w:val="false"/>
          <w:color w:val="000000"/>
          <w:sz w:val="24"/>
        </w:rPr>
        <w:t>. If a Participant is authorized by the Sponsor for any reason to take an unpaid leave of absence from the employment of the Sponsor, the Participant shall continue to be considered employed by the Sponsor and the Participant shall be excused from making deferrals until the earlier of the date the leave of absence expires or the Participant returns to a paid employment status. Upon such expiration or return, deferrals shall resume for the remaining portion of the Plan Year in which the expiration or return occurs, based on the deferral election, if any, made for that Plan Year. If no election was made for that Plan Year, no deferral shall be withheld.</w:t>
      </w:r>
    </w:p>
    <w:p>
      <w:pPr>
        <w:pStyle w:val="TextBody"/>
        <w:bidi w:val="0"/>
        <w:spacing w:lineRule="auto" w:line="288" w:before="256" w:after="283"/>
        <w:jc w:val="center"/>
        <w:rPr/>
      </w:pPr>
      <w:r>
        <w:rPr>
          <w:rFonts w:ascii="Times New Roman;serif" w:hAnsi="Times New Roman;serif"/>
          <w:b/>
          <w:color w:val="000000"/>
          <w:sz w:val="24"/>
        </w:rPr>
        <w:t>ARTICLE 10</w:t>
        <w:br/>
      </w:r>
      <w:r>
        <w:rPr>
          <w:rFonts w:ascii="Times New Roman;serif" w:hAnsi="Times New Roman;serif"/>
          <w:b/>
          <w:color w:val="000000"/>
          <w:sz w:val="24"/>
          <w:u w:val="single"/>
        </w:rPr>
        <w:t>Termination, Amendment or Modification</w:t>
      </w:r>
    </w:p>
    <w:p>
      <w:pPr>
        <w:pStyle w:val="TextBody"/>
        <w:bidi w:val="0"/>
        <w:spacing w:lineRule="auto" w:line="288" w:before="256" w:after="283"/>
        <w:ind w:left="0" w:right="0" w:hanging="720"/>
        <w:jc w:val="both"/>
        <w:rPr/>
      </w:pPr>
      <w:r>
        <w:rPr>
          <w:rFonts w:ascii="Times New Roman;serif" w:hAnsi="Times New Roman;serif"/>
          <w:b w:val="false"/>
          <w:color w:val="000000"/>
          <w:sz w:val="24"/>
        </w:rPr>
        <w:t>10.1</w:t>
      </w:r>
      <w:r>
        <w:rPr>
          <w:rFonts w:ascii="Times New Roman;serif" w:hAnsi="Times New Roman;serif"/>
          <w:b w:val="false"/>
          <w:color w:val="000000"/>
          <w:sz w:val="24"/>
          <w:u w:val="single"/>
        </w:rPr>
        <w:t>Termination</w:t>
      </w:r>
      <w:r>
        <w:rPr>
          <w:rFonts w:ascii="Times New Roman;serif" w:hAnsi="Times New Roman;serif"/>
          <w:b w:val="false"/>
          <w:color w:val="000000"/>
          <w:sz w:val="24"/>
        </w:rPr>
        <w:t>. Although the Sponsor anticipates that it will continue the Plan for an indefinite period of time, there is no guarantee that the Sponsor will continue the Plan or will not terminate the Plan at any time in the future. Accordingly, the Sponsor reserves the right to discontinue its sponsorship of the Plan and/or to terminate the Plan at any time with respect to any or all of its participating Employees. The termination of the Plan shall not reduce the Account Balance of any Participant or Beneficiary in existence as of the date of Plan termination. Further, the Sponsor may not accelerate payments under the Plan on account of Plan termination except to the extent permitted by Section 409A of the Code and the regulations promulgated thereunder.</w:t>
      </w:r>
    </w:p>
    <w:p>
      <w:pPr>
        <w:pStyle w:val="TextBody"/>
        <w:bidi w:val="0"/>
        <w:spacing w:lineRule="auto" w:line="288" w:before="112" w:after="283"/>
        <w:ind w:left="0" w:right="0" w:hanging="720"/>
        <w:jc w:val="both"/>
        <w:rPr/>
      </w:pPr>
      <w:r>
        <w:rPr>
          <w:rFonts w:ascii="Times New Roman;serif" w:hAnsi="Times New Roman;serif"/>
          <w:b w:val="false"/>
          <w:color w:val="000000"/>
          <w:sz w:val="24"/>
        </w:rPr>
        <w:t>10.2</w:t>
      </w:r>
      <w:r>
        <w:rPr>
          <w:rFonts w:ascii="Times New Roman;serif" w:hAnsi="Times New Roman;serif"/>
          <w:b w:val="false"/>
          <w:color w:val="000000"/>
          <w:sz w:val="24"/>
          <w:u w:val="single"/>
        </w:rPr>
        <w:t>Amendment</w:t>
      </w:r>
      <w:r>
        <w:rPr>
          <w:rFonts w:ascii="Times New Roman;serif" w:hAnsi="Times New Roman;serif"/>
          <w:b w:val="false"/>
          <w:color w:val="000000"/>
          <w:sz w:val="24"/>
        </w:rPr>
        <w:t>. The Sponsor may, at any time, amend or modify the Plan in whole or in part; provided, however, that no amendment or modification shall be effective to decrease or restrict the value of a Participant's Account Balance in existence at the time the amendment or modification is made, calculated as if the Participant had experienced a Separation from Service as of the effective date of the amendment or modification or, if the amendment or modification occurs after the date upon which the Participant was eligible to Retire, the Participant had Retired as of the effective date of the amendment or modification. The amendment or modification of the Plan shall not affect any Participant or Beneficiary who has become entitled to the payment of benefits under the Plan as of the date of the amendment or modification. No amendment or modification shall accelerate payments under the Plan except to the extent permitted by Section 409A of the Code and the regulations promulgated thereunder.</w:t>
      </w:r>
    </w:p>
    <w:p>
      <w:pPr>
        <w:pStyle w:val="TextBody"/>
        <w:bidi w:val="0"/>
        <w:spacing w:lineRule="auto" w:line="288" w:before="112" w:after="283"/>
        <w:ind w:left="0" w:right="0" w:hanging="720"/>
        <w:jc w:val="both"/>
        <w:rPr/>
      </w:pPr>
      <w:r>
        <w:rPr>
          <w:rFonts w:ascii="Times New Roman;serif" w:hAnsi="Times New Roman;serif"/>
          <w:b w:val="false"/>
          <w:color w:val="000000"/>
          <w:sz w:val="24"/>
        </w:rPr>
        <w:t>10.3</w:t>
      </w:r>
      <w:r>
        <w:rPr>
          <w:rFonts w:ascii="Times New Roman;serif" w:hAnsi="Times New Roman;serif"/>
          <w:b w:val="false"/>
          <w:color w:val="000000"/>
          <w:sz w:val="24"/>
          <w:u w:val="single"/>
        </w:rPr>
        <w:t>Delegation to Benefits Committee</w:t>
      </w:r>
      <w:r>
        <w:rPr>
          <w:rFonts w:ascii="Times New Roman;serif" w:hAnsi="Times New Roman;serif"/>
          <w:b w:val="false"/>
          <w:color w:val="000000"/>
          <w:sz w:val="24"/>
        </w:rPr>
        <w:t>. The Sponsor has delegated its rights to act under Sections 10.1 and 10.2 above to the Benefits Committee and the Benefits Committee shall have the full power to take action under Sections 10.1 and 10.2.</w:t>
      </w:r>
    </w:p>
    <w:p>
      <w:pPr>
        <w:pStyle w:val="TextBody"/>
        <w:bidi w:val="0"/>
        <w:spacing w:lineRule="auto" w:line="288" w:before="112" w:after="283"/>
        <w:ind w:left="0" w:right="0" w:hanging="720"/>
        <w:jc w:val="both"/>
        <w:rPr/>
      </w:pPr>
      <w:r>
        <w:rPr>
          <w:rFonts w:ascii="Times New Roman;serif" w:hAnsi="Times New Roman;serif"/>
          <w:b w:val="false"/>
          <w:color w:val="000000"/>
          <w:sz w:val="24"/>
        </w:rPr>
        <w:t>10.4</w:t>
      </w:r>
      <w:r>
        <w:rPr>
          <w:rFonts w:ascii="Times New Roman;serif" w:hAnsi="Times New Roman;serif"/>
          <w:b w:val="false"/>
          <w:color w:val="000000"/>
          <w:sz w:val="24"/>
          <w:u w:val="single"/>
        </w:rPr>
        <w:t>Effect of Payment</w:t>
      </w:r>
      <w:r>
        <w:rPr>
          <w:rFonts w:ascii="Times New Roman;serif" w:hAnsi="Times New Roman;serif"/>
          <w:b w:val="false"/>
          <w:color w:val="000000"/>
          <w:sz w:val="24"/>
        </w:rPr>
        <w:t>. The full payment of the applicable benefit under Articles 4, 5, 6, or 7 of the Plan shall completely discharge all obligations to a Participant and his or her designated Beneficiaries under this Plan and the Participant's participation in the Plan shall terminate.</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35915"/>
                <wp:effectExtent l="0" t="0" r="0" b="0"/>
                <wp:wrapNone/>
                <wp:docPr id="95" name="Frame9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256" w:after="283"/>
        <w:jc w:val="center"/>
        <w:rPr/>
      </w:pPr>
      <w:r>
        <w:rPr>
          <w:rFonts w:ascii="Times New Roman;serif" w:hAnsi="Times New Roman;serif"/>
          <w:b/>
          <w:color w:val="000000"/>
          <w:sz w:val="24"/>
        </w:rPr>
        <w:t>ARTICLE 11</w:t>
        <w:br/>
      </w:r>
      <w:r>
        <w:rPr>
          <w:rFonts w:ascii="Times New Roman;serif" w:hAnsi="Times New Roman;serif"/>
          <w:b/>
          <w:color w:val="000000"/>
          <w:sz w:val="24"/>
          <w:u w:val="single"/>
        </w:rPr>
        <w:t>Administration</w:t>
      </w:r>
    </w:p>
    <w:p>
      <w:pPr>
        <w:pStyle w:val="TextBody"/>
        <w:bidi w:val="0"/>
        <w:spacing w:lineRule="auto" w:line="288" w:before="256" w:after="283"/>
        <w:ind w:left="0" w:right="0" w:hanging="720"/>
        <w:jc w:val="both"/>
        <w:rPr/>
      </w:pPr>
      <w:r>
        <w:rPr>
          <w:rFonts w:ascii="Times New Roman;serif" w:hAnsi="Times New Roman;serif"/>
          <w:b w:val="false"/>
          <w:color w:val="000000"/>
          <w:sz w:val="24"/>
        </w:rPr>
        <w:t>11.1</w:t>
      </w:r>
      <w:r>
        <w:rPr>
          <w:rFonts w:ascii="Times New Roman;serif" w:hAnsi="Times New Roman;serif"/>
          <w:b w:val="false"/>
          <w:color w:val="000000"/>
          <w:sz w:val="24"/>
          <w:u w:val="single"/>
        </w:rPr>
        <w:t>Benefits Committee Duties</w:t>
      </w:r>
      <w:r>
        <w:rPr>
          <w:rFonts w:ascii="Times New Roman;serif" w:hAnsi="Times New Roman;serif"/>
          <w:b w:val="false"/>
          <w:color w:val="000000"/>
          <w:sz w:val="24"/>
        </w:rPr>
        <w:t>. Except as otherwise provided in this Article 11, this Plan shall be administered by the Benefits Committee of the Sponsor. The Benefits Committee shall also have the discretion and authority to (i) make, amend, interpret, and enforce all appropriate rules and regulations for the administration of this Plan and (ii) decide or resolve any and all questions including interpretations of this Plan, as may arise in connection with the Plan. Any individual serving on the Benefits Committee who is a Participant shall not vote or act on any matter relating solely to himself or herself. When making a determination or calculation, the Benefits Committee shall be entitled to rely on information furnished by a Participant or the Sponsor.</w:t>
      </w:r>
    </w:p>
    <w:p>
      <w:pPr>
        <w:pStyle w:val="TextBody"/>
        <w:bidi w:val="0"/>
        <w:spacing w:lineRule="auto" w:line="288" w:before="112" w:after="283"/>
        <w:ind w:left="0" w:right="0" w:hanging="720"/>
        <w:jc w:val="both"/>
        <w:rPr/>
      </w:pPr>
      <w:r>
        <w:rPr>
          <w:rFonts w:ascii="Times New Roman;serif" w:hAnsi="Times New Roman;serif"/>
          <w:b w:val="false"/>
          <w:color w:val="000000"/>
          <w:sz w:val="24"/>
        </w:rPr>
        <w:t>11.2</w:t>
      </w:r>
      <w:r>
        <w:rPr>
          <w:rFonts w:ascii="Times New Roman;serif" w:hAnsi="Times New Roman;serif"/>
          <w:b w:val="false"/>
          <w:color w:val="000000"/>
          <w:sz w:val="24"/>
          <w:u w:val="single"/>
        </w:rPr>
        <w:t>Agents</w:t>
      </w:r>
      <w:r>
        <w:rPr>
          <w:rFonts w:ascii="Times New Roman;serif" w:hAnsi="Times New Roman;serif"/>
          <w:b w:val="false"/>
          <w:color w:val="000000"/>
          <w:sz w:val="24"/>
        </w:rPr>
        <w:t>. In the administration of this Plan, the Benefits Committee may, from time to time, employ agents and delegate to them such administrative duties as it sees fit (including acting through a duly appointed representative) and may from time-to-time consult with counsel who may be counsel to the Sponsor.</w:t>
      </w:r>
    </w:p>
    <w:p>
      <w:pPr>
        <w:pStyle w:val="TextBody"/>
        <w:bidi w:val="0"/>
        <w:spacing w:lineRule="auto" w:line="288" w:before="112" w:after="283"/>
        <w:ind w:left="0" w:right="0" w:hanging="720"/>
        <w:jc w:val="both"/>
        <w:rPr/>
      </w:pPr>
      <w:r>
        <w:rPr>
          <w:rFonts w:ascii="Times New Roman;serif" w:hAnsi="Times New Roman;serif"/>
          <w:b w:val="false"/>
          <w:color w:val="000000"/>
          <w:sz w:val="24"/>
        </w:rPr>
        <w:t>11.3</w:t>
      </w:r>
      <w:r>
        <w:rPr>
          <w:rFonts w:ascii="Times New Roman;serif" w:hAnsi="Times New Roman;serif"/>
          <w:b w:val="false"/>
          <w:color w:val="000000"/>
          <w:sz w:val="24"/>
          <w:u w:val="single"/>
        </w:rPr>
        <w:t>Binding Effect of Decisions</w:t>
      </w:r>
      <w:r>
        <w:rPr>
          <w:rFonts w:ascii="Times New Roman;serif" w:hAnsi="Times New Roman;serif"/>
          <w:b w:val="false"/>
          <w:color w:val="000000"/>
          <w:sz w:val="24"/>
        </w:rPr>
        <w:t>. The decision or action of the Benefits Committee with respect to any question arising out of or in connection with the administration, interpretation and application of the Plan and the rules and regulations promulgated hereunder shall be final and conclusive and binding upon all persons having any interest in the Plan.</w:t>
      </w:r>
    </w:p>
    <w:p>
      <w:pPr>
        <w:pStyle w:val="TextBody"/>
        <w:bidi w:val="0"/>
        <w:spacing w:lineRule="auto" w:line="288" w:before="112" w:after="283"/>
        <w:ind w:left="0" w:right="0" w:hanging="720"/>
        <w:jc w:val="both"/>
        <w:rPr/>
      </w:pPr>
      <w:r>
        <w:rPr>
          <w:rFonts w:ascii="Times New Roman;serif" w:hAnsi="Times New Roman;serif"/>
          <w:b w:val="false"/>
          <w:color w:val="000000"/>
          <w:sz w:val="24"/>
        </w:rPr>
        <w:t>11.4</w:t>
      </w:r>
      <w:r>
        <w:rPr>
          <w:rFonts w:ascii="Times New Roman;serif" w:hAnsi="Times New Roman;serif"/>
          <w:b w:val="false"/>
          <w:color w:val="000000"/>
          <w:sz w:val="24"/>
          <w:u w:val="single"/>
        </w:rPr>
        <w:t>Indemnity of Benefits Committee</w:t>
      </w:r>
      <w:r>
        <w:rPr>
          <w:rFonts w:ascii="Times New Roman;serif" w:hAnsi="Times New Roman;serif"/>
          <w:b w:val="false"/>
          <w:color w:val="000000"/>
          <w:sz w:val="24"/>
        </w:rPr>
        <w:t>. The Sponsor shall indemnify and hold harmless the members of the Benefits Committee and any Employee to whom the duties of the Benefits Committee may be delegated against any and all claims, losses, damages, expenses or liabilities arising from any action or failure to act with respect to this Plan, except in the case of willful misconduct by the Benefits Committee, any of its members, or any such Employee.</w:t>
      </w:r>
    </w:p>
    <w:p>
      <w:pPr>
        <w:pStyle w:val="TextBody"/>
        <w:bidi w:val="0"/>
        <w:spacing w:lineRule="auto" w:line="288" w:before="112" w:after="283"/>
        <w:ind w:left="0" w:right="0" w:hanging="720"/>
        <w:jc w:val="both"/>
        <w:rPr/>
      </w:pPr>
      <w:r>
        <w:rPr>
          <w:rFonts w:ascii="Times New Roman;serif" w:hAnsi="Times New Roman;serif"/>
          <w:b w:val="false"/>
          <w:color w:val="000000"/>
          <w:sz w:val="24"/>
        </w:rPr>
        <w:t>11.5</w:t>
      </w:r>
      <w:r>
        <w:rPr>
          <w:rFonts w:ascii="Times New Roman;serif" w:hAnsi="Times New Roman;serif"/>
          <w:b w:val="false"/>
          <w:color w:val="000000"/>
          <w:sz w:val="24"/>
          <w:u w:val="single"/>
        </w:rPr>
        <w:t>Sponsor Information</w:t>
      </w:r>
      <w:r>
        <w:rPr>
          <w:rFonts w:ascii="Times New Roman;serif" w:hAnsi="Times New Roman;serif"/>
          <w:b w:val="false"/>
          <w:color w:val="000000"/>
          <w:sz w:val="24"/>
        </w:rPr>
        <w:t>. To enable the Benefits Committee to perform its functions, the Sponsor shall supply full and timely information to the Benefits Committee, as the case may be, on all matters relating to the compensation of its Participants, the date and circumstances of the Retirement, death or Separation from Service of its Participants, and such other pertinent information as the Benefits Committee may reasonably request.</w:t>
      </w:r>
    </w:p>
    <w:p>
      <w:pPr>
        <w:pStyle w:val="TextBody"/>
        <w:bidi w:val="0"/>
        <w:spacing w:lineRule="auto" w:line="288" w:before="256" w:after="283"/>
        <w:jc w:val="center"/>
        <w:rPr/>
      </w:pPr>
      <w:r>
        <w:rPr>
          <w:rFonts w:ascii="Times New Roman;serif" w:hAnsi="Times New Roman;serif"/>
          <w:b/>
          <w:color w:val="000000"/>
          <w:sz w:val="24"/>
        </w:rPr>
        <w:t>ARTICLE 12</w:t>
        <w:br/>
      </w:r>
      <w:r>
        <w:rPr>
          <w:rFonts w:ascii="Times New Roman;serif" w:hAnsi="Times New Roman;serif"/>
          <w:b/>
          <w:color w:val="000000"/>
          <w:sz w:val="24"/>
          <w:u w:val="single"/>
        </w:rPr>
        <w:t>Other Benefits and Agreements</w:t>
      </w:r>
    </w:p>
    <w:p>
      <w:pPr>
        <w:pStyle w:val="TextBody"/>
        <w:bidi w:val="0"/>
        <w:spacing w:lineRule="auto" w:line="288" w:before="256" w:after="283"/>
        <w:ind w:left="0" w:right="0" w:hanging="720"/>
        <w:jc w:val="left"/>
        <w:rPr/>
      </w:pPr>
      <w:r>
        <w:rPr>
          <w:rFonts w:ascii="Times New Roman;serif" w:hAnsi="Times New Roman;serif"/>
          <w:b w:val="false"/>
          <w:color w:val="000000"/>
          <w:sz w:val="24"/>
        </w:rPr>
        <w:t>12.1</w:t>
      </w:r>
      <w:r>
        <w:rPr>
          <w:rFonts w:ascii="Times New Roman;serif" w:hAnsi="Times New Roman;serif"/>
          <w:b w:val="false"/>
          <w:color w:val="000000"/>
          <w:sz w:val="24"/>
          <w:u w:val="single"/>
        </w:rPr>
        <w:t>Coordination with Other Benefits</w:t>
      </w:r>
      <w:r>
        <w:rPr>
          <w:rFonts w:ascii="Times New Roman;serif" w:hAnsi="Times New Roman;serif"/>
          <w:b w:val="false"/>
          <w:color w:val="000000"/>
          <w:sz w:val="24"/>
        </w:rPr>
        <w:t>. The benefits provided for a Participant and Participant's Beneficiary under the Plan are in addition to any other benefits available to such Participant under any other plan or program for employees of the Sponsor. The Plan shall supplement and shall not supersede, modify or amend any other such plan or program except as may otherwise be expressly provided.</w:t>
      </w:r>
    </w:p>
    <w:p>
      <w:pPr>
        <w:pStyle w:val="TextBody"/>
        <w:bidi w:val="0"/>
        <w:spacing w:lineRule="auto" w:line="288" w:before="256" w:after="283"/>
        <w:jc w:val="center"/>
        <w:rPr/>
      </w:pPr>
      <w:r>
        <w:rPr>
          <w:rFonts w:ascii="Times New Roman;serif" w:hAnsi="Times New Roman;serif"/>
          <w:b/>
          <w:color w:val="000000"/>
          <w:sz w:val="24"/>
        </w:rPr>
        <w:t>ARTICLE 13</w:t>
        <w:br/>
      </w:r>
      <w:r>
        <w:rPr>
          <w:rFonts w:ascii="Times New Roman;serif" w:hAnsi="Times New Roman;serif"/>
          <w:b/>
          <w:color w:val="000000"/>
          <w:sz w:val="24"/>
          <w:u w:val="single"/>
        </w:rPr>
        <w:t>Claims Procedures</w:t>
      </w:r>
    </w:p>
    <w:p>
      <w:pPr>
        <w:pStyle w:val="TextBody"/>
        <w:bidi w:val="0"/>
        <w:spacing w:lineRule="auto" w:line="288" w:before="256" w:after="283"/>
        <w:ind w:left="0" w:right="0" w:hanging="720"/>
        <w:jc w:val="both"/>
        <w:rPr/>
      </w:pPr>
      <w:r>
        <w:rPr>
          <w:rFonts w:ascii="Times New Roman;serif" w:hAnsi="Times New Roman;serif"/>
          <w:b w:val="false"/>
          <w:color w:val="000000"/>
          <w:sz w:val="24"/>
        </w:rPr>
        <w:t>13.1</w:t>
      </w:r>
      <w:r>
        <w:rPr>
          <w:rFonts w:ascii="Times New Roman;serif" w:hAnsi="Times New Roman;serif"/>
          <w:b w:val="false"/>
          <w:color w:val="000000"/>
          <w:sz w:val="24"/>
          <w:u w:val="single"/>
        </w:rPr>
        <w:t>Presentation of Claim</w:t>
      </w:r>
      <w:r>
        <w:rPr>
          <w:rFonts w:ascii="Times New Roman;serif" w:hAnsi="Times New Roman;serif"/>
          <w:b w:val="false"/>
          <w:color w:val="000000"/>
          <w:sz w:val="24"/>
        </w:rPr>
        <w:t xml:space="preserve">. Any Participant or Beneficiary of a deceased Participant (such Participant or Beneficiary being referred to below as a "Claimant") may deliver to the Benefits Committee a written claim for a determination with respect to the amounts distributable to such Claimant from the Plan. If such a claim relates to the contents of a notice received by the Claimant, the claim must be made within sixty (60) days after such notice was received by the Claimant. All other claims must be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35915"/>
                <wp:effectExtent l="0" t="0" r="0" b="0"/>
                <wp:wrapNone/>
                <wp:docPr id="96" name="Frame9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256" w:after="283"/>
        <w:jc w:val="both"/>
        <w:rPr>
          <w:rFonts w:ascii="Times New Roman;serif" w:hAnsi="Times New Roman;serif"/>
          <w:b w:val="false"/>
          <w:color w:val="000000"/>
          <w:sz w:val="24"/>
        </w:rPr>
      </w:pPr>
      <w:r>
        <w:rPr>
          <w:rFonts w:ascii="Times New Roman;serif" w:hAnsi="Times New Roman;serif"/>
          <w:b w:val="false"/>
          <w:color w:val="000000"/>
          <w:sz w:val="24"/>
        </w:rPr>
        <w:t>made within 180 days of the date on which the event that caused the claim to arise occurred. The claim must state with particularity the determination desired by the Claimant.</w:t>
      </w:r>
    </w:p>
    <w:p>
      <w:pPr>
        <w:pStyle w:val="TextBody"/>
        <w:bidi w:val="0"/>
        <w:spacing w:lineRule="auto" w:line="288" w:before="112" w:after="283"/>
        <w:ind w:left="0" w:right="0" w:hanging="720"/>
        <w:jc w:val="left"/>
        <w:rPr/>
      </w:pPr>
      <w:r>
        <w:rPr>
          <w:rFonts w:ascii="Times New Roman;serif" w:hAnsi="Times New Roman;serif"/>
          <w:b w:val="false"/>
          <w:color w:val="000000"/>
          <w:sz w:val="24"/>
        </w:rPr>
        <w:t>13.2</w:t>
      </w:r>
      <w:r>
        <w:rPr>
          <w:rFonts w:ascii="Times New Roman;serif" w:hAnsi="Times New Roman;serif"/>
          <w:b w:val="false"/>
          <w:color w:val="000000"/>
          <w:sz w:val="24"/>
          <w:u w:val="single"/>
        </w:rPr>
        <w:t>Notification of Decision</w:t>
      </w:r>
      <w:r>
        <w:rPr>
          <w:rFonts w:ascii="Times New Roman;serif" w:hAnsi="Times New Roman;serif"/>
          <w:b w:val="false"/>
          <w:color w:val="000000"/>
          <w:sz w:val="24"/>
        </w:rPr>
        <w:t>. The Benefits Committee shall consider a Claimant's claim within a reasonable time, and shall notify the Claimant in writing:</w:t>
      </w:r>
    </w:p>
    <w:p>
      <w:pPr>
        <w:pStyle w:val="TextBody"/>
        <w:bidi w:val="0"/>
        <w:spacing w:lineRule="auto" w:line="288" w:before="112"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(a)that the Claimant's requested determination has been made, and that the claim has been allowed in full; or</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(b)that the Benefits Committee has reached a conclusion contrary, in whole or in part, to the Claimant's requested determination, and such notice must set forth in a manner calculated to be understood by the Claimant:</w:t>
      </w:r>
    </w:p>
    <w:p>
      <w:pPr>
        <w:pStyle w:val="TextBody"/>
        <w:bidi w:val="0"/>
        <w:spacing w:lineRule="auto" w:line="288" w:before="112"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(i)the specific reason(s) for the denial of the claim, or any part of it;</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(ii)specific reference(s) to pertinent provisions of the Plan upon which such denial was based;</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description of any additional material or information necessary for the Claimant to perfect the claim, and an explanation of why such material or information is necessary; and</w:t>
      </w:r>
    </w:p>
    <w:p>
      <w:pPr>
        <w:pStyle w:val="TextBody"/>
        <w:bidi w:val="0"/>
        <w:spacing w:lineRule="auto" w:line="288" w:before="11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(iv)an explanation of the claim review procedure set forth in Section 13.3 below.</w:t>
      </w:r>
    </w:p>
    <w:p>
      <w:pPr>
        <w:pStyle w:val="TextBody"/>
        <w:bidi w:val="0"/>
        <w:spacing w:lineRule="auto" w:line="288" w:before="112" w:after="283"/>
        <w:ind w:left="0" w:right="0" w:hanging="720"/>
        <w:jc w:val="both"/>
        <w:rPr/>
      </w:pPr>
      <w:r>
        <w:rPr>
          <w:rFonts w:ascii="Times New Roman;serif" w:hAnsi="Times New Roman;serif"/>
          <w:b w:val="false"/>
          <w:color w:val="000000"/>
          <w:sz w:val="24"/>
        </w:rPr>
        <w:t>13.3</w:t>
      </w:r>
      <w:r>
        <w:rPr>
          <w:rFonts w:ascii="Times New Roman;serif" w:hAnsi="Times New Roman;serif"/>
          <w:b w:val="false"/>
          <w:color w:val="000000"/>
          <w:sz w:val="24"/>
          <w:u w:val="single"/>
        </w:rPr>
        <w:t>Review of a Denied Claim</w:t>
      </w:r>
      <w:r>
        <w:rPr>
          <w:rFonts w:ascii="Times New Roman;serif" w:hAnsi="Times New Roman;serif"/>
          <w:b w:val="false"/>
          <w:color w:val="000000"/>
          <w:sz w:val="24"/>
        </w:rPr>
        <w:t>. Within sixty (60) days after receiving a notice from the Benefits Committee that a claim has been denied, in whole or in part, a Claimant (or the Claimant's duly authorized representative) may file with the Benefits Committee a written request for a review of the denial of the claim. Thereafter, but not later than thirty (30) days after the review procedure began, the Claimant (or the Claimant's duly authorized representative):</w:t>
      </w:r>
    </w:p>
    <w:p>
      <w:pPr>
        <w:pStyle w:val="TextBody"/>
        <w:bidi w:val="0"/>
        <w:spacing w:lineRule="auto" w:line="288" w:before="112"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(a)may review pertinent documents;</w:t>
      </w:r>
    </w:p>
    <w:p>
      <w:pPr>
        <w:pStyle w:val="TextBody"/>
        <w:bidi w:val="0"/>
        <w:spacing w:lineRule="auto" w:line="288" w:before="112"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(b)may submit written comments or other documents; and/or</w:t>
      </w:r>
    </w:p>
    <w:p>
      <w:pPr>
        <w:pStyle w:val="TextBody"/>
        <w:bidi w:val="0"/>
        <w:spacing w:lineRule="auto" w:line="288" w:before="112"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(c)may request a hearing, which the Benefits Committee, in its sole discretion, may grant.</w:t>
      </w:r>
    </w:p>
    <w:p>
      <w:pPr>
        <w:pStyle w:val="TextBody"/>
        <w:bidi w:val="0"/>
        <w:spacing w:lineRule="auto" w:line="288" w:before="112" w:after="283"/>
        <w:ind w:left="0" w:right="0" w:hanging="720"/>
        <w:jc w:val="both"/>
        <w:rPr/>
      </w:pPr>
      <w:r>
        <w:rPr>
          <w:rFonts w:ascii="Times New Roman;serif" w:hAnsi="Times New Roman;serif"/>
          <w:b w:val="false"/>
          <w:color w:val="000000"/>
          <w:sz w:val="24"/>
        </w:rPr>
        <w:t>13.4</w:t>
      </w:r>
      <w:r>
        <w:rPr>
          <w:rFonts w:ascii="Times New Roman;serif" w:hAnsi="Times New Roman;serif"/>
          <w:b w:val="false"/>
          <w:color w:val="000000"/>
          <w:sz w:val="24"/>
          <w:u w:val="single"/>
        </w:rPr>
        <w:t>Decision on Review</w:t>
      </w:r>
      <w:r>
        <w:rPr>
          <w:rFonts w:ascii="Times New Roman;serif" w:hAnsi="Times New Roman;serif"/>
          <w:b w:val="false"/>
          <w:color w:val="000000"/>
          <w:sz w:val="24"/>
        </w:rPr>
        <w:t>. The Benefits Committee shall render its decision on review promptly, and not later than sixty (60) days after the filing of a written request for review of the denial, unless a hearing is held or other special circumstances require additional time, in which case the Benefits Committee's decision must be rendered within 120 days after such date. Such decision must be written in a manner calculated to be understood by the Claimant, and it must contain:</w:t>
      </w:r>
    </w:p>
    <w:p>
      <w:pPr>
        <w:pStyle w:val="TextBody"/>
        <w:bidi w:val="0"/>
        <w:spacing w:lineRule="auto" w:line="288" w:before="112"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(a)specific reasons for the decision;</w:t>
      </w:r>
    </w:p>
    <w:p>
      <w:pPr>
        <w:pStyle w:val="TextBody"/>
        <w:bidi w:val="0"/>
        <w:spacing w:lineRule="auto" w:line="288" w:before="112"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(b)specific reference(s) to the pertinent Plan provisions upon which the decision was based; and</w:t>
      </w:r>
    </w:p>
    <w:p>
      <w:pPr>
        <w:pStyle w:val="TextBody"/>
        <w:bidi w:val="0"/>
        <w:spacing w:lineRule="auto" w:line="288" w:before="112"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(c)such other matters as the Benefits Committee deems relevant.</w:t>
      </w:r>
    </w:p>
    <w:p>
      <w:pPr>
        <w:pStyle w:val="TextBody"/>
        <w:bidi w:val="0"/>
        <w:spacing w:lineRule="auto" w:line="288" w:before="112" w:after="283"/>
        <w:ind w:left="0" w:right="0" w:hanging="720"/>
        <w:jc w:val="both"/>
        <w:rPr/>
      </w:pPr>
      <w:r>
        <w:rPr>
          <w:rFonts w:ascii="Times New Roman;serif" w:hAnsi="Times New Roman;serif"/>
          <w:b w:val="false"/>
          <w:color w:val="000000"/>
          <w:sz w:val="24"/>
        </w:rPr>
        <w:t>13.5</w:t>
      </w:r>
      <w:r>
        <w:rPr>
          <w:rFonts w:ascii="Times New Roman;serif" w:hAnsi="Times New Roman;serif"/>
          <w:b w:val="false"/>
          <w:color w:val="000000"/>
          <w:sz w:val="24"/>
          <w:u w:val="single"/>
        </w:rPr>
        <w:t>Legal Action</w:t>
      </w:r>
      <w:r>
        <w:rPr>
          <w:rFonts w:ascii="Times New Roman;serif" w:hAnsi="Times New Roman;serif"/>
          <w:b w:val="false"/>
          <w:color w:val="000000"/>
          <w:sz w:val="24"/>
        </w:rPr>
        <w:t>. A Claimant's compliance with the foregoing provisions of this Article 13 is a mandatory prerequisite to a Claimant's right to commence any legal action with respect to any claim for benefits under this Plan.</w:t>
      </w:r>
    </w:p>
    <w:p>
      <w:pPr>
        <w:pStyle w:val="TextBody"/>
        <w:bidi w:val="0"/>
        <w:spacing w:before="256"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35915"/>
                <wp:effectExtent l="0" t="0" r="0" b="0"/>
                <wp:wrapNone/>
                <wp:docPr id="97" name="Frame9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256" w:after="283"/>
        <w:jc w:val="center"/>
        <w:rPr/>
      </w:pPr>
      <w:r>
        <w:rPr>
          <w:rFonts w:ascii="Times New Roman;serif" w:hAnsi="Times New Roman;serif"/>
          <w:b/>
          <w:color w:val="000000"/>
          <w:sz w:val="24"/>
        </w:rPr>
        <w:t>ARTICLE 14</w:t>
        <w:br/>
      </w:r>
      <w:r>
        <w:rPr>
          <w:rFonts w:ascii="Times New Roman;serif" w:hAnsi="Times New Roman;serif"/>
          <w:b/>
          <w:color w:val="000000"/>
          <w:sz w:val="24"/>
          <w:u w:val="single"/>
        </w:rPr>
        <w:t>Trust</w:t>
      </w:r>
    </w:p>
    <w:p>
      <w:pPr>
        <w:pStyle w:val="TextBody"/>
        <w:bidi w:val="0"/>
        <w:spacing w:lineRule="auto" w:line="288" w:before="256" w:after="283"/>
        <w:ind w:left="0" w:right="0" w:hanging="720"/>
        <w:jc w:val="both"/>
        <w:rPr/>
      </w:pPr>
      <w:r>
        <w:rPr>
          <w:rFonts w:ascii="Times New Roman;serif" w:hAnsi="Times New Roman;serif"/>
          <w:b w:val="false"/>
          <w:color w:val="000000"/>
          <w:sz w:val="24"/>
        </w:rPr>
        <w:t>14.1</w:t>
      </w:r>
      <w:r>
        <w:rPr>
          <w:rFonts w:ascii="Times New Roman;serif" w:hAnsi="Times New Roman;serif"/>
          <w:b w:val="false"/>
          <w:color w:val="000000"/>
          <w:sz w:val="24"/>
          <w:u w:val="single"/>
        </w:rPr>
        <w:t>Establishment of the Trust</w:t>
      </w:r>
      <w:r>
        <w:rPr>
          <w:rFonts w:ascii="Times New Roman;serif" w:hAnsi="Times New Roman;serif"/>
          <w:b w:val="false"/>
          <w:color w:val="000000"/>
          <w:sz w:val="24"/>
        </w:rPr>
        <w:t>. In order to provide assets from which to fulfill the obligations of the Participants and their beneficiaries under the Plan, the Sponsor may establish a Trust by a trust agreement with a third-party trustee to which the Sponsor may, in its discretion, contribute cash or other property, including securities issued by the Sponsor, to provide for the benefit payments under the Plan.</w:t>
      </w:r>
    </w:p>
    <w:p>
      <w:pPr>
        <w:pStyle w:val="TextBody"/>
        <w:bidi w:val="0"/>
        <w:spacing w:lineRule="auto" w:line="288" w:before="112" w:after="283"/>
        <w:ind w:left="0" w:right="0" w:hanging="720"/>
        <w:jc w:val="both"/>
        <w:rPr/>
      </w:pPr>
      <w:r>
        <w:rPr>
          <w:rFonts w:ascii="Times New Roman;serif" w:hAnsi="Times New Roman;serif"/>
          <w:b w:val="false"/>
          <w:color w:val="000000"/>
          <w:sz w:val="24"/>
        </w:rPr>
        <w:t>14.2</w:t>
      </w:r>
      <w:r>
        <w:rPr>
          <w:rFonts w:ascii="Times New Roman;serif" w:hAnsi="Times New Roman;serif"/>
          <w:b w:val="false"/>
          <w:color w:val="000000"/>
          <w:sz w:val="24"/>
          <w:u w:val="single"/>
        </w:rPr>
        <w:t>Interrelationship of the Plan and the Trust</w:t>
      </w:r>
      <w:r>
        <w:rPr>
          <w:rFonts w:ascii="Times New Roman;serif" w:hAnsi="Times New Roman;serif"/>
          <w:b w:val="false"/>
          <w:color w:val="000000"/>
          <w:sz w:val="24"/>
        </w:rPr>
        <w:t>. The provisions of the Plan shall govern the rights of a Participant to receive distributions pursuant to the Plan. The provisions of the Trust shall govern the rights of the Sponsor, Participants and the creditors of the Sponsor to the assets transferred to the Trust. The Sponsor shall at all times remain liable to carry out its obligations under the Plan.</w:t>
      </w:r>
    </w:p>
    <w:p>
      <w:pPr>
        <w:pStyle w:val="TextBody"/>
        <w:bidi w:val="0"/>
        <w:spacing w:lineRule="auto" w:line="288" w:before="112" w:after="283"/>
        <w:ind w:left="0" w:right="0" w:hanging="720"/>
        <w:jc w:val="left"/>
        <w:rPr/>
      </w:pPr>
      <w:r>
        <w:rPr>
          <w:rFonts w:ascii="Times New Roman;serif" w:hAnsi="Times New Roman;serif"/>
          <w:b w:val="false"/>
          <w:color w:val="000000"/>
          <w:sz w:val="24"/>
        </w:rPr>
        <w:t>14.3</w:t>
      </w:r>
      <w:r>
        <w:rPr>
          <w:rFonts w:ascii="Times New Roman;serif" w:hAnsi="Times New Roman;serif"/>
          <w:b w:val="false"/>
          <w:color w:val="000000"/>
          <w:sz w:val="24"/>
          <w:u w:val="single"/>
        </w:rPr>
        <w:t>Distributions From the Trust</w:t>
      </w:r>
      <w:r>
        <w:rPr>
          <w:rFonts w:ascii="Times New Roman;serif" w:hAnsi="Times New Roman;serif"/>
          <w:b w:val="false"/>
          <w:color w:val="000000"/>
          <w:sz w:val="24"/>
        </w:rPr>
        <w:t>. The Sponsor's obligations under the Plan may be satisfied with Trust assets distributed pursuant to the terms of the Trust, and any such distribution shall reduce the Sponsor's obligations under this Plan.</w:t>
      </w:r>
    </w:p>
    <w:p>
      <w:pPr>
        <w:pStyle w:val="TextBody"/>
        <w:bidi w:val="0"/>
        <w:spacing w:lineRule="auto" w:line="288" w:before="256" w:after="283"/>
        <w:jc w:val="center"/>
        <w:rPr/>
      </w:pPr>
      <w:r>
        <w:rPr>
          <w:rFonts w:ascii="Times New Roman;serif" w:hAnsi="Times New Roman;serif"/>
          <w:b/>
          <w:color w:val="000000"/>
          <w:sz w:val="24"/>
        </w:rPr>
        <w:t>ARTICLE 15</w:t>
        <w:br/>
      </w:r>
      <w:r>
        <w:rPr>
          <w:rFonts w:ascii="Times New Roman;serif" w:hAnsi="Times New Roman;serif"/>
          <w:b/>
          <w:color w:val="000000"/>
          <w:sz w:val="24"/>
          <w:u w:val="single"/>
        </w:rPr>
        <w:t>Miscellaneous</w:t>
      </w:r>
    </w:p>
    <w:p>
      <w:pPr>
        <w:pStyle w:val="TextBody"/>
        <w:bidi w:val="0"/>
        <w:spacing w:lineRule="auto" w:line="288" w:before="256" w:after="283"/>
        <w:ind w:left="0" w:right="0" w:hanging="720"/>
        <w:jc w:val="left"/>
        <w:rPr/>
      </w:pPr>
      <w:r>
        <w:rPr>
          <w:rFonts w:ascii="Times New Roman;serif" w:hAnsi="Times New Roman;serif"/>
          <w:b w:val="false"/>
          <w:color w:val="000000"/>
          <w:sz w:val="24"/>
        </w:rPr>
        <w:t>15.1</w:t>
      </w:r>
      <w:r>
        <w:rPr>
          <w:rFonts w:ascii="Times New Roman;serif" w:hAnsi="Times New Roman;serif"/>
          <w:b w:val="false"/>
          <w:color w:val="000000"/>
          <w:sz w:val="24"/>
          <w:u w:val="single"/>
        </w:rPr>
        <w:t>Status of Plan</w:t>
      </w:r>
      <w:r>
        <w:rPr>
          <w:rFonts w:ascii="Times New Roman;serif" w:hAnsi="Times New Roman;serif"/>
          <w:b w:val="false"/>
          <w:color w:val="000000"/>
          <w:sz w:val="24"/>
        </w:rPr>
        <w:t>. The Plan is intended to be a plan that is not qualified within the meaning of Code Section 401(a) and that "is unfunded and is maintained by an employer primarily for the purpose of providing deferred compensation for a select group of management or highly compensated employees" within the meaning of ERISA Sections 201(2), 301(a)(3) and 401(a)(1). The Plan shall be administered and interpreted to the extent possible in a manner consistent with that intent.</w:t>
      </w:r>
    </w:p>
    <w:p>
      <w:pPr>
        <w:pStyle w:val="TextBody"/>
        <w:bidi w:val="0"/>
        <w:spacing w:lineRule="auto" w:line="288" w:before="112" w:after="283"/>
        <w:ind w:left="0" w:right="0" w:hanging="720"/>
        <w:jc w:val="both"/>
        <w:rPr/>
      </w:pPr>
      <w:r>
        <w:rPr>
          <w:rFonts w:ascii="Times New Roman;serif" w:hAnsi="Times New Roman;serif"/>
          <w:b w:val="false"/>
          <w:color w:val="000000"/>
          <w:sz w:val="24"/>
        </w:rPr>
        <w:t>15.2</w:t>
      </w:r>
      <w:r>
        <w:rPr>
          <w:rFonts w:ascii="Times New Roman;serif" w:hAnsi="Times New Roman;serif"/>
          <w:b w:val="false"/>
          <w:color w:val="000000"/>
          <w:sz w:val="24"/>
          <w:u w:val="single"/>
        </w:rPr>
        <w:t>Unsecured General Creditor</w:t>
      </w:r>
      <w:r>
        <w:rPr>
          <w:rFonts w:ascii="Times New Roman;serif" w:hAnsi="Times New Roman;serif"/>
          <w:b w:val="false"/>
          <w:color w:val="000000"/>
          <w:sz w:val="24"/>
        </w:rPr>
        <w:t>. Participants and their Beneficiaries, heirs, successors and assigns shall have no legal or equitable rights, interests or claims in any property or assets of the Sponsor. For purposes of the payment of benefits under this Plan, any and all of the Sponsor's assets shall be, and remain, the general, unpledged unrestricted assets of the Sponsor. The Sponsor's obligation under the Plan shall be merely that of an unfunded and unsecured promise to pay money in the future.</w:t>
      </w:r>
    </w:p>
    <w:p>
      <w:pPr>
        <w:pStyle w:val="TextBody"/>
        <w:bidi w:val="0"/>
        <w:spacing w:lineRule="auto" w:line="288" w:before="112" w:after="283"/>
        <w:ind w:left="0" w:right="0" w:hanging="720"/>
        <w:jc w:val="both"/>
        <w:rPr/>
      </w:pPr>
      <w:r>
        <w:rPr>
          <w:rFonts w:ascii="Times New Roman;serif" w:hAnsi="Times New Roman;serif"/>
          <w:b w:val="false"/>
          <w:color w:val="000000"/>
          <w:sz w:val="24"/>
        </w:rPr>
        <w:t>15.3</w:t>
      </w:r>
      <w:r>
        <w:rPr>
          <w:rFonts w:ascii="Times New Roman;serif" w:hAnsi="Times New Roman;serif"/>
          <w:b w:val="false"/>
          <w:color w:val="000000"/>
          <w:sz w:val="24"/>
          <w:u w:val="single"/>
        </w:rPr>
        <w:t>Sponsor's Liability</w:t>
      </w:r>
      <w:r>
        <w:rPr>
          <w:rFonts w:ascii="Times New Roman;serif" w:hAnsi="Times New Roman;serif"/>
          <w:b w:val="false"/>
          <w:color w:val="000000"/>
          <w:sz w:val="24"/>
        </w:rPr>
        <w:t>. The Sponsor's liability for the payment of benefits shall be defined only by the Plan. The Sponsor shall have no obligation to a Participant under the Plan except as expressly provided in the Plan.</w:t>
      </w:r>
    </w:p>
    <w:p>
      <w:pPr>
        <w:pStyle w:val="TextBody"/>
        <w:bidi w:val="0"/>
        <w:spacing w:lineRule="auto" w:line="288" w:before="112" w:after="283"/>
        <w:ind w:left="0" w:right="0" w:hanging="720"/>
        <w:jc w:val="both"/>
        <w:rPr/>
      </w:pPr>
      <w:r>
        <w:rPr>
          <w:rFonts w:ascii="Times New Roman;serif" w:hAnsi="Times New Roman;serif"/>
          <w:b w:val="false"/>
          <w:color w:val="000000"/>
          <w:sz w:val="24"/>
        </w:rPr>
        <w:t>15.4</w:t>
      </w:r>
      <w:r>
        <w:rPr>
          <w:rFonts w:ascii="Times New Roman;serif" w:hAnsi="Times New Roman;serif"/>
          <w:b w:val="false"/>
          <w:color w:val="000000"/>
          <w:sz w:val="24"/>
          <w:u w:val="single"/>
        </w:rPr>
        <w:t>No Assignability</w:t>
      </w:r>
      <w:r>
        <w:rPr>
          <w:rFonts w:ascii="Times New Roman;serif" w:hAnsi="Times New Roman;serif"/>
          <w:b w:val="false"/>
          <w:color w:val="000000"/>
          <w:sz w:val="24"/>
        </w:rPr>
        <w:t>. Neither a Participant nor any other person shall have any right to commute, sell, assign, transfer, 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pStyle w:val="TextBody"/>
        <w:bidi w:val="0"/>
        <w:spacing w:lineRule="auto" w:line="288" w:before="112" w:after="283"/>
        <w:ind w:left="0" w:right="0" w:hanging="720"/>
        <w:jc w:val="both"/>
        <w:rPr/>
      </w:pPr>
      <w:r>
        <w:rPr>
          <w:rFonts w:ascii="Times New Roman;serif" w:hAnsi="Times New Roman;serif"/>
          <w:b w:val="false"/>
          <w:color w:val="000000"/>
          <w:sz w:val="24"/>
        </w:rPr>
        <w:t>15.5</w:t>
      </w:r>
      <w:r>
        <w:rPr>
          <w:rFonts w:ascii="Times New Roman;serif" w:hAnsi="Times New Roman;serif"/>
          <w:b w:val="false"/>
          <w:color w:val="000000"/>
          <w:sz w:val="24"/>
          <w:u w:val="single"/>
        </w:rPr>
        <w:t>Not a Contract of Employment</w:t>
      </w:r>
      <w:r>
        <w:rPr>
          <w:rFonts w:ascii="Times New Roman;serif" w:hAnsi="Times New Roman;serif"/>
          <w:b w:val="false"/>
          <w:color w:val="000000"/>
          <w:sz w:val="24"/>
        </w:rPr>
        <w:t xml:space="preserve">. The terms and conditions of this Plan shall not be deemed to constitute a contract of employment between the Sponsor and the Participant. Such employment is hereby acknowledged to be an "at will" employment relationship that can be terminated at any time for any reason, or no reason, with or without cause, and with or without notice, unless expressly provided in a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35915"/>
                <wp:effectExtent l="0" t="0" r="0" b="0"/>
                <wp:wrapNone/>
                <wp:docPr id="98" name="Frame9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112" w:after="283"/>
        <w:jc w:val="both"/>
        <w:rPr>
          <w:rFonts w:ascii="Times New Roman;serif" w:hAnsi="Times New Roman;serif"/>
          <w:b w:val="false"/>
          <w:color w:val="000000"/>
          <w:sz w:val="24"/>
        </w:rPr>
      </w:pPr>
      <w:r>
        <w:rPr>
          <w:rFonts w:ascii="Times New Roman;serif" w:hAnsi="Times New Roman;serif"/>
          <w:b w:val="false"/>
          <w:color w:val="000000"/>
          <w:sz w:val="24"/>
        </w:rPr>
        <w:t>written employment agreement. Nothing in this Plan shall be deemed to give a Participant the right to be retained in the service of the Sponsor, as an Employee, or to interfere with the right of the Sponsor to discipline or discharge the Participant at any time.</w:t>
      </w:r>
    </w:p>
    <w:p>
      <w:pPr>
        <w:pStyle w:val="TextBody"/>
        <w:bidi w:val="0"/>
        <w:spacing w:lineRule="auto" w:line="288" w:before="112" w:after="283"/>
        <w:ind w:left="0" w:right="0" w:hanging="720"/>
        <w:jc w:val="both"/>
        <w:rPr/>
      </w:pPr>
      <w:r>
        <w:rPr>
          <w:rFonts w:ascii="Times New Roman;serif" w:hAnsi="Times New Roman;serif"/>
          <w:b w:val="false"/>
          <w:color w:val="000000"/>
          <w:sz w:val="24"/>
        </w:rPr>
        <w:t>15.6</w:t>
      </w:r>
      <w:r>
        <w:rPr>
          <w:rFonts w:ascii="Times New Roman;serif" w:hAnsi="Times New Roman;serif"/>
          <w:b w:val="false"/>
          <w:color w:val="000000"/>
          <w:sz w:val="24"/>
          <w:u w:val="single"/>
        </w:rPr>
        <w:t>Furnishing Information</w:t>
      </w:r>
      <w:r>
        <w:rPr>
          <w:rFonts w:ascii="Times New Roman;serif" w:hAnsi="Times New Roman;serif"/>
          <w:b w:val="false"/>
          <w:color w:val="000000"/>
          <w:sz w:val="24"/>
        </w:rPr>
        <w:t>. A Participant or his or her Beneficiary will cooperate with the Benefits Committee by furnishing any and all information requested by the Benefits Committee and take such other actions as may be requested in order to facilitate the administration of the Plan and the payments of benefits hereunder, including but not limited to taking such physical examinations as the Benefits Committee may deem necessary.</w:t>
      </w:r>
    </w:p>
    <w:p>
      <w:pPr>
        <w:pStyle w:val="TextBody"/>
        <w:bidi w:val="0"/>
        <w:spacing w:lineRule="auto" w:line="288" w:before="112" w:after="283"/>
        <w:ind w:left="0" w:right="0" w:hanging="720"/>
        <w:jc w:val="both"/>
        <w:rPr/>
      </w:pPr>
      <w:r>
        <w:rPr>
          <w:rFonts w:ascii="Times New Roman;serif" w:hAnsi="Times New Roman;serif"/>
          <w:b w:val="false"/>
          <w:color w:val="000000"/>
          <w:sz w:val="24"/>
        </w:rPr>
        <w:t>15.7</w:t>
      </w:r>
      <w:r>
        <w:rPr>
          <w:rFonts w:ascii="Times New Roman;serif" w:hAnsi="Times New Roman;serif"/>
          <w:b w:val="false"/>
          <w:color w:val="000000"/>
          <w:sz w:val="24"/>
          <w:u w:val="single"/>
        </w:rPr>
        <w:t>Terms</w:t>
      </w:r>
      <w:r>
        <w:rPr>
          <w:rFonts w:ascii="Times New Roman;serif" w:hAnsi="Times New Roman;serif"/>
          <w:b w:val="false"/>
          <w:color w:val="000000"/>
          <w:sz w:val="24"/>
        </w:rPr>
        <w:t>. Whenever any words are used herein in the masculine, they shall be construed as though they were in the feminine in all cases where they would so apply; and whenever any words are used herein in the singular or in the plural, they shall be construed as though they were used in the plural or the singular, as the case may be, in all cases where they would so apply.</w:t>
      </w:r>
    </w:p>
    <w:p>
      <w:pPr>
        <w:pStyle w:val="TextBody"/>
        <w:bidi w:val="0"/>
        <w:spacing w:lineRule="auto" w:line="288" w:before="112" w:after="283"/>
        <w:ind w:left="0" w:right="0" w:hanging="720"/>
        <w:jc w:val="both"/>
        <w:rPr/>
      </w:pPr>
      <w:r>
        <w:rPr>
          <w:rFonts w:ascii="Times New Roman;serif" w:hAnsi="Times New Roman;serif"/>
          <w:b w:val="false"/>
          <w:color w:val="000000"/>
          <w:sz w:val="24"/>
        </w:rPr>
        <w:t>15.8</w:t>
      </w:r>
      <w:r>
        <w:rPr>
          <w:rFonts w:ascii="Times New Roman;serif" w:hAnsi="Times New Roman;serif"/>
          <w:b w:val="false"/>
          <w:color w:val="000000"/>
          <w:sz w:val="24"/>
          <w:u w:val="single"/>
        </w:rPr>
        <w:t>Captions</w:t>
      </w:r>
      <w:r>
        <w:rPr>
          <w:rFonts w:ascii="Times New Roman;serif" w:hAnsi="Times New Roman;serif"/>
          <w:b w:val="false"/>
          <w:color w:val="000000"/>
          <w:sz w:val="24"/>
        </w:rPr>
        <w:t>. The captions of the articles, sections and paragraphs of this Plan are for convenience only and shall not control or affect the meaning or construction of any of its provisions.</w:t>
      </w:r>
    </w:p>
    <w:p>
      <w:pPr>
        <w:pStyle w:val="TextBody"/>
        <w:bidi w:val="0"/>
        <w:spacing w:lineRule="auto" w:line="288" w:before="112" w:after="283"/>
        <w:ind w:left="0" w:right="0" w:hanging="720"/>
        <w:jc w:val="both"/>
        <w:rPr/>
      </w:pPr>
      <w:r>
        <w:rPr>
          <w:rFonts w:ascii="Times New Roman;serif" w:hAnsi="Times New Roman;serif"/>
          <w:b w:val="false"/>
          <w:color w:val="000000"/>
          <w:sz w:val="24"/>
        </w:rPr>
        <w:t>15.9</w:t>
      </w:r>
      <w:r>
        <w:rPr>
          <w:rFonts w:ascii="Times New Roman;serif" w:hAnsi="Times New Roman;serif"/>
          <w:b w:val="false"/>
          <w:color w:val="000000"/>
          <w:sz w:val="24"/>
          <w:u w:val="single"/>
        </w:rPr>
        <w:t>Governing Law</w:t>
      </w:r>
      <w:r>
        <w:rPr>
          <w:rFonts w:ascii="Times New Roman;serif" w:hAnsi="Times New Roman;serif"/>
          <w:b w:val="false"/>
          <w:color w:val="000000"/>
          <w:sz w:val="24"/>
        </w:rPr>
        <w:t>. Subject to ERISA, the provisions of this Plan shall be construed and interpreted according to the internal laws of the Commonwealth of Massachusetts without regard to its conflicts of laws principles.</w:t>
      </w:r>
    </w:p>
    <w:p>
      <w:pPr>
        <w:pStyle w:val="TextBody"/>
        <w:bidi w:val="0"/>
        <w:spacing w:lineRule="auto" w:line="288" w:before="112" w:after="283"/>
        <w:ind w:left="0" w:right="0" w:hanging="720"/>
        <w:jc w:val="both"/>
        <w:rPr/>
      </w:pPr>
      <w:r>
        <w:rPr>
          <w:rFonts w:ascii="Times New Roman;serif" w:hAnsi="Times New Roman;serif"/>
          <w:b w:val="false"/>
          <w:color w:val="000000"/>
          <w:sz w:val="24"/>
        </w:rPr>
        <w:t>15.10</w:t>
      </w:r>
      <w:r>
        <w:rPr>
          <w:rFonts w:ascii="Times New Roman;serif" w:hAnsi="Times New Roman;serif"/>
          <w:b w:val="false"/>
          <w:color w:val="000000"/>
          <w:sz w:val="24"/>
          <w:u w:val="single"/>
        </w:rPr>
        <w:t>Notice</w:t>
      </w:r>
      <w:r>
        <w:rPr>
          <w:rFonts w:ascii="Times New Roman;serif" w:hAnsi="Times New Roman;serif"/>
          <w:b w:val="false"/>
          <w:color w:val="000000"/>
          <w:sz w:val="24"/>
        </w:rPr>
        <w:t>. Any notice or filing required or permitted to be given to the Benefits Committee under this Plan shall be sufficient if in writing and hand-delivered, or sent by registered or certified mail, to the address below:</w:t>
      </w:r>
    </w:p>
    <w:p>
      <w:pPr>
        <w:pStyle w:val="TextBody"/>
        <w:bidi w:val="0"/>
        <w:spacing w:lineRule="auto" w:line="288" w:before="112" w:after="283"/>
        <w:jc w:val="left"/>
        <w:rPr>
          <w:rFonts w:ascii="Times New Roman;serif" w:hAnsi="Times New Roman;serif"/>
          <w:b w:val="false"/>
          <w:color w:val="000000"/>
          <w:sz w:val="24"/>
        </w:rPr>
      </w:pPr>
      <w:r>
        <w:rPr>
          <w:rFonts w:ascii="Times New Roman;serif" w:hAnsi="Times New Roman;serif"/>
          <w:b w:val="false"/>
          <w:color w:val="000000"/>
          <w:sz w:val="24"/>
        </w:rPr>
        <w:t>BXP Benefits Committee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BXP,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Prudential Center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800 Boylston Street, Suite 1900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Boston MA 02199</w:t>
      </w:r>
    </w:p>
    <w:p>
      <w:pPr>
        <w:pStyle w:val="TextBody"/>
        <w:bidi w:val="0"/>
        <w:spacing w:lineRule="auto" w:line="288" w:before="112" w:after="283"/>
        <w:jc w:val="both"/>
        <w:rPr>
          <w:rFonts w:ascii="Times New Roman;serif" w:hAnsi="Times New Roman;serif"/>
          <w:b w:val="false"/>
          <w:color w:val="000000"/>
          <w:sz w:val="24"/>
        </w:rPr>
      </w:pPr>
      <w:r>
        <w:rPr>
          <w:rFonts w:ascii="Times New Roman;serif" w:hAnsi="Times New Roman;serif"/>
          <w:b w:val="false"/>
          <w:color w:val="000000"/>
          <w:sz w:val="24"/>
        </w:rPr>
        <w:t>Such notice shall be deemed given as of the date of delivery or, if delivery is made by mail, as of the date shown on the postmark on the receipt for registration or certification.</w:t>
      </w:r>
    </w:p>
    <w:p>
      <w:pPr>
        <w:pStyle w:val="TextBody"/>
        <w:bidi w:val="0"/>
        <w:spacing w:lineRule="auto" w:line="288" w:before="112" w:after="283"/>
        <w:jc w:val="both"/>
        <w:rPr>
          <w:rFonts w:ascii="Times New Roman;serif" w:hAnsi="Times New Roman;serif"/>
          <w:b w:val="false"/>
          <w:color w:val="000000"/>
          <w:sz w:val="24"/>
        </w:rPr>
      </w:pPr>
      <w:r>
        <w:rPr>
          <w:rFonts w:ascii="Times New Roman;serif" w:hAnsi="Times New Roman;serif"/>
          <w:b w:val="false"/>
          <w:color w:val="000000"/>
          <w:sz w:val="24"/>
        </w:rPr>
        <w:t>Any notice or filing required or permitted to be given to a Participant under this Plan shall be sufficient if in writing and hand-delivered, or sent by mail, to the last known address of the Participant.</w:t>
      </w:r>
    </w:p>
    <w:p>
      <w:pPr>
        <w:pStyle w:val="TextBody"/>
        <w:bidi w:val="0"/>
        <w:spacing w:lineRule="auto" w:line="288" w:before="112" w:after="283"/>
        <w:ind w:left="0" w:right="0" w:hanging="720"/>
        <w:jc w:val="both"/>
        <w:rPr/>
      </w:pPr>
      <w:r>
        <w:rPr>
          <w:rFonts w:ascii="Times New Roman;serif" w:hAnsi="Times New Roman;serif"/>
          <w:b w:val="false"/>
          <w:color w:val="000000"/>
          <w:sz w:val="24"/>
        </w:rPr>
        <w:t>15.11</w:t>
      </w:r>
      <w:r>
        <w:rPr>
          <w:rFonts w:ascii="Times New Roman;serif" w:hAnsi="Times New Roman;serif"/>
          <w:b w:val="false"/>
          <w:color w:val="000000"/>
          <w:sz w:val="24"/>
          <w:u w:val="single"/>
        </w:rPr>
        <w:t>Successors</w:t>
      </w:r>
      <w:r>
        <w:rPr>
          <w:rFonts w:ascii="Times New Roman;serif" w:hAnsi="Times New Roman;serif"/>
          <w:b w:val="false"/>
          <w:color w:val="000000"/>
          <w:sz w:val="24"/>
        </w:rPr>
        <w:t>. The provisions of this Plan shall bind and inure to the benefit of the Sponsor and its successors and assigns and the Participant and the Participant's designated Beneficiaries.</w:t>
      </w:r>
    </w:p>
    <w:p>
      <w:pPr>
        <w:pStyle w:val="TextBody"/>
        <w:bidi w:val="0"/>
        <w:spacing w:lineRule="auto" w:line="288" w:before="112" w:after="283"/>
        <w:ind w:left="0" w:right="0" w:hanging="720"/>
        <w:jc w:val="both"/>
        <w:rPr/>
      </w:pPr>
      <w:r>
        <w:rPr>
          <w:rFonts w:ascii="Times New Roman;serif" w:hAnsi="Times New Roman;serif"/>
          <w:b w:val="false"/>
          <w:color w:val="000000"/>
          <w:sz w:val="24"/>
        </w:rPr>
        <w:t>15.12</w:t>
      </w:r>
      <w:r>
        <w:rPr>
          <w:rFonts w:ascii="Times New Roman;serif" w:hAnsi="Times New Roman;serif"/>
          <w:b w:val="false"/>
          <w:color w:val="000000"/>
          <w:sz w:val="24"/>
          <w:u w:val="single"/>
        </w:rPr>
        <w:t>Spouse's Interest</w:t>
      </w:r>
      <w:r>
        <w:rPr>
          <w:rFonts w:ascii="Times New Roman;serif" w:hAnsi="Times New Roman;serif"/>
          <w:b w:val="false"/>
          <w:color w:val="000000"/>
          <w:sz w:val="24"/>
        </w:rPr>
        <w:t>. The interest in the benefits hereunder of a spouse of a Participant who has predeceased the Participant shall automatically pass to the Participant and shall not be transferable by such spouse in any manner, including but not limited to such spouse's will, nor shall such interest pass under the laws of intestate succession.</w:t>
      </w:r>
    </w:p>
    <w:p>
      <w:pPr>
        <w:pStyle w:val="TextBody"/>
        <w:bidi w:val="0"/>
        <w:spacing w:lineRule="auto" w:line="288" w:before="112" w:after="283"/>
        <w:ind w:left="0" w:right="0" w:hanging="720"/>
        <w:jc w:val="both"/>
        <w:rPr/>
      </w:pPr>
      <w:r>
        <w:rPr>
          <w:rFonts w:ascii="Times New Roman;serif" w:hAnsi="Times New Roman;serif"/>
          <w:b w:val="false"/>
          <w:color w:val="000000"/>
          <w:sz w:val="24"/>
        </w:rPr>
        <w:t>15.13</w:t>
      </w:r>
      <w:r>
        <w:rPr>
          <w:rFonts w:ascii="Times New Roman;serif" w:hAnsi="Times New Roman;serif"/>
          <w:b w:val="false"/>
          <w:color w:val="000000"/>
          <w:sz w:val="24"/>
          <w:u w:val="single"/>
        </w:rPr>
        <w:t>Validity</w:t>
      </w:r>
      <w:r>
        <w:rPr>
          <w:rFonts w:ascii="Times New Roman;serif" w:hAnsi="Times New Roman;serif"/>
          <w:b w:val="false"/>
          <w:color w:val="000000"/>
          <w:sz w:val="24"/>
        </w:rPr>
        <w:t>. In case any provision of this Plan shall be illegal or invalid for any reason, said illegality or invalidity shall not affect the remaining parts hereof, but this Plan shall be construed and enforced as if such illegal or invalid provision had never been inserted herein.</w:t>
      </w:r>
    </w:p>
    <w:p>
      <w:pPr>
        <w:pStyle w:val="TextBody"/>
        <w:bidi w:val="0"/>
        <w:spacing w:lineRule="auto" w:line="288" w:before="112" w:after="283"/>
        <w:ind w:left="0" w:right="0" w:hanging="720"/>
        <w:jc w:val="both"/>
        <w:rPr/>
      </w:pPr>
      <w:r>
        <w:rPr>
          <w:rFonts w:ascii="Times New Roman;serif" w:hAnsi="Times New Roman;serif"/>
          <w:b w:val="false"/>
          <w:color w:val="000000"/>
          <w:sz w:val="24"/>
        </w:rPr>
        <w:t>15.14</w:t>
      </w:r>
      <w:r>
        <w:rPr>
          <w:rFonts w:ascii="Times New Roman;serif" w:hAnsi="Times New Roman;serif"/>
          <w:b w:val="false"/>
          <w:color w:val="000000"/>
          <w:sz w:val="24"/>
          <w:u w:val="single"/>
        </w:rPr>
        <w:t>Incompetent</w:t>
      </w:r>
      <w:r>
        <w:rPr>
          <w:rFonts w:ascii="Times New Roman;serif" w:hAnsi="Times New Roman;serif"/>
          <w:b w:val="false"/>
          <w:color w:val="000000"/>
          <w:sz w:val="24"/>
        </w:rPr>
        <w:t xml:space="preserve">. If the Benefits Committee determines in its discretion that a benefit under this Plan is to be paid to a minor, a person declared incompetent or to a person incapable of handling the disposition of that person's property, the Benefits Committee may direct payment of such benefit to the guardian, legal representative or person having the care and custody of such minor, incompetent or incapable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35915"/>
                <wp:effectExtent l="0" t="0" r="0" b="0"/>
                <wp:wrapNone/>
                <wp:docPr id="99" name="Frame9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112" w:after="283"/>
        <w:jc w:val="both"/>
        <w:rPr>
          <w:rFonts w:ascii="Times New Roman;serif" w:hAnsi="Times New Roman;serif"/>
          <w:b w:val="false"/>
          <w:color w:val="000000"/>
          <w:sz w:val="24"/>
        </w:rPr>
      </w:pPr>
      <w:r>
        <w:rPr>
          <w:rFonts w:ascii="Times New Roman;serif" w:hAnsi="Times New Roman;serif"/>
          <w:b w:val="false"/>
          <w:color w:val="000000"/>
          <w:sz w:val="24"/>
        </w:rPr>
        <w:t>person. The Benefits Committee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pStyle w:val="TextBody"/>
        <w:bidi w:val="0"/>
        <w:spacing w:lineRule="auto" w:line="288" w:before="112" w:after="283"/>
        <w:ind w:left="0" w:right="0" w:hanging="720"/>
        <w:jc w:val="both"/>
        <w:rPr/>
      </w:pPr>
      <w:r>
        <w:rPr>
          <w:rFonts w:ascii="Times New Roman;serif" w:hAnsi="Times New Roman;serif"/>
          <w:b w:val="false"/>
          <w:color w:val="000000"/>
          <w:sz w:val="24"/>
        </w:rPr>
        <w:t>15.15</w:t>
      </w:r>
      <w:r>
        <w:rPr>
          <w:rFonts w:ascii="Times New Roman;serif" w:hAnsi="Times New Roman;serif"/>
          <w:b w:val="false"/>
          <w:color w:val="000000"/>
          <w:sz w:val="24"/>
          <w:u w:val="single"/>
        </w:rPr>
        <w:t>Court Order</w:t>
      </w:r>
      <w:r>
        <w:rPr>
          <w:rFonts w:ascii="Times New Roman;serif" w:hAnsi="Times New Roman;serif"/>
          <w:b w:val="false"/>
          <w:color w:val="000000"/>
          <w:sz w:val="24"/>
        </w:rPr>
        <w:t>. The Benefits Committee is authorized to make any payments directed by court order in any action in which the Plan or the Benefits Committee has been named as a party. In addition, if a court determines that a spouse or former spouse of a Participant has an interest in the Participant's benefits under the Plan in connection with a property settlement or otherwise, the Benefits Committee shall, notwithstanding any election made by a Participant, distribute the spouse's or former spouse's interest in the Participant's benefits under the Plan to that spouse or former spouse in accordance with the domestic relations order.</w:t>
      </w:r>
    </w:p>
    <w:p>
      <w:pPr>
        <w:pStyle w:val="TextBody"/>
        <w:bidi w:val="0"/>
        <w:spacing w:lineRule="auto" w:line="288" w:before="112" w:after="283"/>
        <w:ind w:left="0" w:right="0" w:hanging="720"/>
        <w:jc w:val="both"/>
        <w:rPr/>
      </w:pPr>
      <w:r>
        <w:rPr>
          <w:rFonts w:ascii="Times New Roman;serif" w:hAnsi="Times New Roman;serif"/>
          <w:b w:val="false"/>
          <w:color w:val="000000"/>
          <w:sz w:val="24"/>
        </w:rPr>
        <w:t>15.16</w:t>
      </w:r>
      <w:r>
        <w:rPr>
          <w:rFonts w:ascii="Times New Roman;serif" w:hAnsi="Times New Roman;serif"/>
          <w:b w:val="false"/>
          <w:color w:val="000000"/>
          <w:sz w:val="24"/>
          <w:u w:val="single"/>
        </w:rPr>
        <w:t>Insurance</w:t>
      </w:r>
      <w:r>
        <w:rPr>
          <w:rFonts w:ascii="Times New Roman;serif" w:hAnsi="Times New Roman;serif"/>
          <w:b w:val="false"/>
          <w:color w:val="000000"/>
          <w:sz w:val="24"/>
        </w:rPr>
        <w:t>. The Sponsor, on its own behalf or on behalf of the trustee of the Trust, and, in its sole discretion, may apply for and procure insurance on the life of the Participant, in such amounts and in such forms as the Trust may choose. The Sponsor or the trustee of the Trust, as the case may be, shall be the sole owner and beneficiary of any such insurance. The Participant shall have no interest whatsoever in any such policy or policies, and at the request of the Sponsor shall submit to medical examinations and supply such information and execute such documents as may be required by the insurance company or companies to whom the Sponsor has applied for insurance.</w:t>
      </w:r>
    </w:p>
    <w:p>
      <w:pPr>
        <w:pStyle w:val="TextBody"/>
        <w:bidi w:val="0"/>
        <w:spacing w:before="115" w:after="283"/>
        <w:ind w:left="0" w:right="0" w:hanging="720"/>
        <w:jc w:val="center"/>
        <w:rPr/>
      </w:pPr>
      <w:r>
        <w:rPr/>
      </w:r>
    </w:p>
    <w:p>
      <w:pPr>
        <w:pStyle w:val="TextBody"/>
        <w:bidi w:val="0"/>
        <w:spacing w:lineRule="atLeast" w:line="277" w:before="115"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rest of page left intentionally blank</w:t>
      </w:r>
      <w:r>
        <w:rPr>
          <w:rFonts w:ascii="Times New Roman;serif" w:hAnsi="Times New Roman;serif"/>
          <w:b w:val="false"/>
          <w:color w:val="000000"/>
          <w:sz w:val="24"/>
        </w:rPr>
        <w:t>]</w:t>
      </w:r>
    </w:p>
    <w:p>
      <w:pPr>
        <w:pStyle w:val="TextBody"/>
        <w:bidi w:val="0"/>
        <w:spacing w:before="112" w:after="283"/>
        <w:ind w:left="0" w:right="0" w:hanging="72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35915"/>
                <wp:effectExtent l="0" t="0" r="0" b="0"/>
                <wp:wrapNone/>
                <wp:docPr id="100" name="Frame10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Sponsor has caused this amended and restated Plan document to be duly executed by a duly authorized officer of its general partner, effective as of January 1, 2026. </w:t>
      </w:r>
    </w:p>
    <w:p>
      <w:pPr>
        <w:pStyle w:val="TextBody"/>
        <w:bidi w:val="0"/>
        <w:spacing w:before="267" w:after="283"/>
        <w:jc w:val="left"/>
        <w:rPr/>
      </w:pPr>
      <w:r>
        <w:rPr/>
      </w:r>
    </w:p>
    <w:tbl>
      <w:tblPr>
        <w:tblW w:w="69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80"/>
        <w:gridCol w:w="580"/>
        <w:gridCol w:w="580"/>
        <w:gridCol w:w="845"/>
        <w:gridCol w:w="845"/>
        <w:gridCol w:w="845"/>
        <w:gridCol w:w="572"/>
        <w:gridCol w:w="572"/>
        <w:gridCol w:w="8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BOSTON PROPERTIES LIMITED PARTNERSHIP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BXP, INC., Its General Partner</w:t>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Eric G. Kevorkian</w:t>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Eric G. Kevorkian</w:t>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SVP, Chief Legal Officer</w:t>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32" w:after="283"/>
        <w:jc w:val="left"/>
        <w:rPr/>
      </w:pPr>
      <w:r>
        <w:rPr/>
      </w:r>
    </w:p>
    <w:p>
      <w:pPr>
        <w:pStyle w:val="TextBody"/>
        <w:bidi w:val="0"/>
        <w:spacing w:before="332" w:after="283"/>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35915"/>
                <wp:effectExtent l="0" t="0" r="0" b="0"/>
                <wp:wrapNone/>
                <wp:docPr id="101" name="Frame10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Owen D. Thomas,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BXP, Inc.;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3323" w:type="dxa"/>
        <w:jc w:val="center"/>
        <w:tblInd w:w="0" w:type="dxa"/>
        <w:tblLayout w:type="fixed"/>
        <w:tblCellMar>
          <w:top w:w="28" w:type="dxa"/>
          <w:left w:w="28" w:type="dxa"/>
          <w:bottom w:w="28" w:type="dxa"/>
          <w:right w:w="28" w:type="dxa"/>
        </w:tblCellMar>
      </w:tblPr>
      <w:tblGrid>
        <w:gridCol w:w="124"/>
        <w:gridCol w:w="109"/>
        <w:gridCol w:w="109"/>
        <w:gridCol w:w="869"/>
        <w:gridCol w:w="869"/>
        <w:gridCol w:w="8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Owen D. Thomas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Michael E. LaBelle,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BXP, Inc.;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3173" w:type="dxa"/>
        <w:jc w:val="center"/>
        <w:tblInd w:w="0" w:type="dxa"/>
        <w:tblLayout w:type="fixed"/>
        <w:tblCellMar>
          <w:top w:w="28" w:type="dxa"/>
          <w:left w:w="28" w:type="dxa"/>
          <w:bottom w:w="28" w:type="dxa"/>
          <w:right w:w="28" w:type="dxa"/>
        </w:tblCellMar>
      </w:tblPr>
      <w:tblGrid>
        <w:gridCol w:w="124"/>
        <w:gridCol w:w="109"/>
        <w:gridCol w:w="109"/>
        <w:gridCol w:w="819"/>
        <w:gridCol w:w="819"/>
        <w:gridCol w:w="8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Michael E. LaBelle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31.3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Owen D. Thomas,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Limited Partnership;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5723" w:type="dxa"/>
        <w:jc w:val="center"/>
        <w:tblInd w:w="0" w:type="dxa"/>
        <w:tblLayout w:type="fixed"/>
        <w:tblCellMar>
          <w:top w:w="28" w:type="dxa"/>
          <w:left w:w="28" w:type="dxa"/>
          <w:bottom w:w="28" w:type="dxa"/>
          <w:right w:w="28" w:type="dxa"/>
        </w:tblCellMar>
      </w:tblPr>
      <w:tblGrid>
        <w:gridCol w:w="124"/>
        <w:gridCol w:w="109"/>
        <w:gridCol w:w="109"/>
        <w:gridCol w:w="1667"/>
        <w:gridCol w:w="1667"/>
        <w:gridCol w:w="167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Owen D. Thomas</w:t>
              <w:br/>
              <w:t>Chief Executive Officer of BXP, Inc.</w:t>
              <w:br/>
              <w:t>General Partner of Boston Properties Limited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Michael E. LaBelle,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Limited Partnership;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5723" w:type="dxa"/>
        <w:jc w:val="center"/>
        <w:tblInd w:w="0" w:type="dxa"/>
        <w:tblLayout w:type="fixed"/>
        <w:tblCellMar>
          <w:top w:w="28" w:type="dxa"/>
          <w:left w:w="28" w:type="dxa"/>
          <w:bottom w:w="28" w:type="dxa"/>
          <w:right w:w="28" w:type="dxa"/>
        </w:tblCellMar>
      </w:tblPr>
      <w:tblGrid>
        <w:gridCol w:w="124"/>
        <w:gridCol w:w="109"/>
        <w:gridCol w:w="109"/>
        <w:gridCol w:w="1668"/>
        <w:gridCol w:w="1668"/>
        <w:gridCol w:w="16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6"/>
              </w:rPr>
              <w:t>A</w:t>
            </w:r>
            <w:r>
              <w:rPr>
                <w:rFonts w:ascii="Arial;sans-serif" w:hAnsi="Arial;sans-serif"/>
                <w:b w:val="false"/>
                <w:color w:val="000000"/>
                <w:sz w:val="20"/>
              </w:rPr>
              <w:t>B</w:t>
            </w:r>
            <w:r>
              <w:rPr>
                <w:rFonts w:ascii="Arial;sans-serif" w:hAnsi="Arial;sans-serif"/>
                <w:b w:val="false"/>
                <w:color w:val="000000"/>
                <w:sz w:val="16"/>
              </w:rPr>
              <w:t>ELLE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Michael E. LaBelle</w:t>
              <w:br/>
              <w:t>Chief Financial Officer of BXP, Inc.</w:t>
              <w:br/>
              <w:t>General Partner of Boston Properties Limited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PURSUANT TO 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BXP, Inc. (the “Company”) hereby certifies to his knowledge that the Company’s Quarterly Report on Form 10-Q for the period ended March 31,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3293" w:type="dxa"/>
        <w:jc w:val="center"/>
        <w:tblInd w:w="0" w:type="dxa"/>
        <w:tblLayout w:type="fixed"/>
        <w:tblCellMar>
          <w:top w:w="28" w:type="dxa"/>
          <w:left w:w="28" w:type="dxa"/>
          <w:bottom w:w="28" w:type="dxa"/>
          <w:right w:w="28" w:type="dxa"/>
        </w:tblCellMar>
      </w:tblPr>
      <w:tblGrid>
        <w:gridCol w:w="124"/>
        <w:gridCol w:w="109"/>
        <w:gridCol w:w="109"/>
        <w:gridCol w:w="859"/>
        <w:gridCol w:w="859"/>
        <w:gridCol w:w="8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  </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Owen D. Thomas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BXP, Inc. (the “Company”) hereby certifies to his knowledge that the Company's Quarterly Report on Form 10-Q for the period ended March 31,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3563" w:type="dxa"/>
        <w:jc w:val="center"/>
        <w:tblInd w:w="0" w:type="dxa"/>
        <w:tblLayout w:type="fixed"/>
        <w:tblCellMar>
          <w:top w:w="28" w:type="dxa"/>
          <w:left w:w="28" w:type="dxa"/>
          <w:bottom w:w="28" w:type="dxa"/>
          <w:right w:w="28" w:type="dxa"/>
        </w:tblCellMar>
      </w:tblPr>
      <w:tblGrid>
        <w:gridCol w:w="124"/>
        <w:gridCol w:w="109"/>
        <w:gridCol w:w="109"/>
        <w:gridCol w:w="949"/>
        <w:gridCol w:w="949"/>
        <w:gridCol w:w="9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6"/>
              </w:rPr>
              <w:t>A</w:t>
            </w:r>
            <w:r>
              <w:rPr>
                <w:rFonts w:ascii="Arial;sans-serif" w:hAnsi="Arial;sans-serif"/>
                <w:b w:val="false"/>
                <w:color w:val="000000"/>
                <w:sz w:val="20"/>
              </w:rPr>
              <w:t>B</w:t>
            </w:r>
            <w:r>
              <w:rPr>
                <w:rFonts w:ascii="Arial;sans-serif" w:hAnsi="Arial;sans-serif"/>
                <w:b w:val="false"/>
                <w:color w:val="000000"/>
                <w:sz w:val="16"/>
              </w:rPr>
              <w:t>ELLE</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Michael E. LaBelle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32.3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BXP, Inc., the sole general partner of Boston Properties Limited Partnership (the “Operating Partnership”), hereby certifies to his knowledge that the Operating Partnership's Quarterly Report on Form 10-Q for the period ended March 31,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5723" w:type="dxa"/>
        <w:jc w:val="center"/>
        <w:tblInd w:w="0" w:type="dxa"/>
        <w:tblLayout w:type="fixed"/>
        <w:tblCellMar>
          <w:top w:w="28" w:type="dxa"/>
          <w:left w:w="28" w:type="dxa"/>
          <w:bottom w:w="28" w:type="dxa"/>
          <w:right w:w="28" w:type="dxa"/>
        </w:tblCellMar>
      </w:tblPr>
      <w:tblGrid>
        <w:gridCol w:w="124"/>
        <w:gridCol w:w="109"/>
        <w:gridCol w:w="109"/>
        <w:gridCol w:w="1667"/>
        <w:gridCol w:w="1667"/>
        <w:gridCol w:w="167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Owen D. Thomas</w:t>
              <w:br/>
              <w:t>Chief Executive Officer of BXP, Inc.</w:t>
              <w:br/>
              <w:t>General Partner of Boston Properties Limited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32.4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BXP, Inc., the sole general partner of Boston Properties Limited Partnership (the “Operating Partnership”), hereby certifies to his knowledge that the Operating Partnership’s Quarterly Report on Form 10-Q for the period ended March 31,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5724" w:type="dxa"/>
        <w:jc w:val="center"/>
        <w:tblInd w:w="0" w:type="dxa"/>
        <w:tblLayout w:type="fixed"/>
        <w:tblCellMar>
          <w:top w:w="28" w:type="dxa"/>
          <w:left w:w="28" w:type="dxa"/>
          <w:bottom w:w="28" w:type="dxa"/>
          <w:right w:w="28" w:type="dxa"/>
        </w:tblCellMar>
      </w:tblPr>
      <w:tblGrid>
        <w:gridCol w:w="124"/>
        <w:gridCol w:w="109"/>
        <w:gridCol w:w="109"/>
        <w:gridCol w:w="1669"/>
        <w:gridCol w:w="1669"/>
        <w:gridCol w:w="16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6"/>
              </w:rPr>
              <w:t>A</w:t>
            </w:r>
            <w:r>
              <w:rPr>
                <w:rFonts w:ascii="Arial;sans-serif" w:hAnsi="Arial;sans-serif"/>
                <w:b w:val="false"/>
                <w:color w:val="000000"/>
                <w:sz w:val="20"/>
              </w:rPr>
              <w:t>B</w:t>
            </w:r>
            <w:r>
              <w:rPr>
                <w:rFonts w:ascii="Arial;sans-serif" w:hAnsi="Arial;sans-serif"/>
                <w:b w:val="false"/>
                <w:color w:val="000000"/>
                <w:sz w:val="16"/>
              </w:rPr>
              <w:t>ELLE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Michael E. LaBelle</w:t>
              <w:br/>
              <w:t>Chief Financial Officer of BXP, Inc.</w:t>
              <w:br/>
              <w:t>General Partner of Boston Properties Limited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7540/000103754026000006/non-employeedirectorcompen.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47476</Words>
  <Characters>262057</Characters>
  <CharactersWithSpaces>307686</CharactersWithSpaces>
  <Paragraphs>7052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