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97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9773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LUSTIG MATTHEW J</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160" w:type="dxa"/>
            <w:vAlign w:val="bottom"/>
          </w:tcPr>
          <w:p>
            <w:pPr>
              <w:ind w:left="160"/>
              <w:spacing w:after="0"/>
              <w:rPr>
                <w:sz w:val="20"/>
                <w:szCs w:val="20"/>
                <w:color w:val="auto"/>
              </w:rPr>
            </w:pPr>
            <w:r>
              <w:rPr>
                <w:rFonts w:ascii="Arial" w:cs="Arial" w:eastAsia="Arial" w:hAnsi="Arial"/>
                <w:sz w:val="13"/>
                <w:szCs w:val="13"/>
                <w:color w:val="auto"/>
              </w:rPr>
              <w:t>(First)</w:t>
            </w:r>
          </w:p>
        </w:tc>
        <w:tc>
          <w:tcPr>
            <w:tcW w:w="140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LAZARD FRERES &amp; CO LLC</w:t>
            </w:r>
          </w:p>
        </w:tc>
      </w:tr>
      <w:tr>
        <w:trPr>
          <w:trHeight w:val="260"/>
        </w:trPr>
        <w:tc>
          <w:tcPr>
            <w:tcW w:w="20" w:type="dxa"/>
            <w:vAlign w:val="bottom"/>
          </w:tcPr>
          <w:p>
            <w:pPr>
              <w:spacing w:after="0"/>
              <w:rPr>
                <w:sz w:val="22"/>
                <w:szCs w:val="22"/>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30 ROCKEFELLER PLAZA</w:t>
            </w:r>
          </w:p>
        </w:tc>
        <w:tc>
          <w:tcPr>
            <w:tcW w:w="140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10020</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160"/>
              <w:spacing w:after="0"/>
              <w:rPr>
                <w:sz w:val="20"/>
                <w:szCs w:val="20"/>
                <w:color w:val="auto"/>
              </w:rPr>
            </w:pPr>
            <w:r>
              <w:rPr>
                <w:rFonts w:ascii="Arial" w:cs="Arial" w:eastAsia="Arial" w:hAnsi="Arial"/>
                <w:sz w:val="13"/>
                <w:szCs w:val="13"/>
                <w:color w:val="auto"/>
              </w:rPr>
              <w:t>(State)</w:t>
            </w:r>
          </w:p>
        </w:tc>
        <w:tc>
          <w:tcPr>
            <w:tcW w:w="140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3"/>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2540" w:type="dxa"/>
            <w:vAlign w:val="bottom"/>
            <w:tcBorders>
              <w:bottom w:val="single" w:sz="8" w:color="0000EE"/>
            </w:tcBorders>
            <w:gridSpan w:val="3"/>
          </w:tcPr>
          <w:p>
            <w:pPr>
              <w:spacing w:after="0" w:line="221" w:lineRule="exact"/>
              <w:rPr>
                <w:rFonts w:ascii="Times New Roman" w:cs="Times New Roman" w:eastAsia="Times New Roman" w:hAnsi="Times New Roman"/>
                <w:sz w:val="21"/>
                <w:szCs w:val="21"/>
                <w:color w:val="0000EE"/>
                <w:w w:val="97"/>
              </w:rPr>
            </w:pPr>
            <w:hyperlink r:id="rId14">
              <w:r>
                <w:rPr>
                  <w:rFonts w:ascii="Times New Roman" w:cs="Times New Roman" w:eastAsia="Times New Roman" w:hAnsi="Times New Roman"/>
                  <w:sz w:val="21"/>
                  <w:szCs w:val="21"/>
                  <w:color w:val="0000EE"/>
                  <w:w w:val="97"/>
                </w:rPr>
                <w:t>BOSTON PROPERTIES LTD</w:t>
              </w:r>
            </w:hyperlink>
          </w:p>
        </w:tc>
        <w:tc>
          <w:tcPr>
            <w:tcW w:w="1220" w:type="dxa"/>
            <w:vAlign w:val="bottom"/>
          </w:tcPr>
          <w:p>
            <w:pPr>
              <w:spacing w:after="0"/>
              <w:rPr>
                <w:sz w:val="19"/>
                <w:szCs w:val="19"/>
                <w:color w:val="auto"/>
              </w:rPr>
            </w:pP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3760" w:type="dxa"/>
            <w:vAlign w:val="bottom"/>
            <w:gridSpan w:val="4"/>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PARTNERSHIP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60" w:type="dxa"/>
            <w:vAlign w:val="bottom"/>
          </w:tcPr>
          <w:p>
            <w:pPr>
              <w:spacing w:after="0"/>
              <w:rPr>
                <w:sz w:val="5"/>
                <w:szCs w:val="5"/>
                <w:color w:val="auto"/>
              </w:rPr>
            </w:pPr>
          </w:p>
        </w:tc>
        <w:tc>
          <w:tcPr>
            <w:tcW w:w="376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1240" w:type="dxa"/>
            <w:vAlign w:val="bottom"/>
            <w:tcBorders>
              <w:top w:val="single" w:sz="8" w:color="0000EE"/>
            </w:tcBorders>
          </w:tcPr>
          <w:p>
            <w:pPr>
              <w:spacing w:after="0"/>
              <w:rPr>
                <w:sz w:val="9"/>
                <w:szCs w:val="9"/>
                <w:color w:val="auto"/>
              </w:rPr>
            </w:pPr>
          </w:p>
        </w:tc>
        <w:tc>
          <w:tcPr>
            <w:tcW w:w="1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10" w:lineRule="exact"/>
              <w:rPr>
                <w:sz w:val="20"/>
                <w:szCs w:val="20"/>
                <w:color w:val="auto"/>
              </w:rPr>
            </w:pPr>
            <w:r>
              <w:rPr>
                <w:rFonts w:ascii="Arial" w:cs="Arial" w:eastAsia="Arial" w:hAnsi="Arial"/>
                <w:sz w:val="12"/>
                <w:szCs w:val="12"/>
                <w:color w:val="auto"/>
              </w:rPr>
              <w:t>below)</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3"/>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05/29/2026</w:t>
            </w:r>
          </w:p>
        </w:tc>
        <w:tc>
          <w:tcPr>
            <w:tcW w:w="1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2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2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3"/>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10" w:lineRule="exact"/>
        <w:rPr>
          <w:sz w:val="20"/>
          <w:szCs w:val="20"/>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LTIP</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05/29/2026</w:t>
            </w:r>
          </w:p>
        </w:tc>
        <w:tc>
          <w:tcPr>
            <w:tcW w:w="1100" w:type="dxa"/>
            <w:vAlign w:val="bottom"/>
          </w:tcPr>
          <w:p>
            <w:pPr>
              <w:spacing w:after="0"/>
              <w:rPr>
                <w:sz w:val="15"/>
                <w:szCs w:val="15"/>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3,332</w:t>
            </w:r>
          </w:p>
        </w:tc>
        <w:tc>
          <w:tcPr>
            <w:tcW w:w="260" w:type="dxa"/>
            <w:vAlign w:val="bottom"/>
          </w:tcPr>
          <w:p>
            <w:pPr>
              <w:spacing w:after="0"/>
              <w:rPr>
                <w:sz w:val="15"/>
                <w:szCs w:val="15"/>
                <w:color w:val="auto"/>
              </w:rPr>
            </w:pP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3,332</w:t>
            </w:r>
          </w:p>
        </w:tc>
        <w:tc>
          <w:tcPr>
            <w:tcW w:w="7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0.25</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25,697</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tcPr>
          <w:p>
            <w:pPr>
              <w:ind w:left="60"/>
              <w:spacing w:after="0" w:line="65"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tcPr>
          <w:p>
            <w:pPr>
              <w:ind w:left="60"/>
              <w:spacing w:after="0" w:line="65" w:lineRule="exact"/>
              <w:rPr>
                <w:sz w:val="20"/>
                <w:szCs w:val="20"/>
                <w:color w:val="auto"/>
              </w:rPr>
            </w:pPr>
            <w:r>
              <w:rPr>
                <w:rFonts w:ascii="Times New Roman" w:cs="Times New Roman" w:eastAsia="Times New Roman" w:hAnsi="Times New Roman"/>
                <w:sz w:val="6"/>
                <w:szCs w:val="6"/>
                <w:color w:val="0000FF"/>
              </w:rPr>
              <w:t>OP Units</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7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00" w:firstLine="3"/>
        <w:spacing w:after="0" w:line="266" w:lineRule="auto"/>
        <w:tabs>
          <w:tab w:leader="none" w:pos="17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units of limited partnership interest in the Issuer issued pursuant to BXP, Inc.'s ("BXP"), the Issuer's general partner, equity based incentive programs ("LTIP Units"). Conditioned upon minimum allocations to the capital accounts of the LTIP Units for federal income tax purposes, each LTIP Unit may be converted, at the election of the Issuer or the holder, into a common unit of limited partnership interest in the Issuer ("Common OP Unit"). Each Common OP Unit acquired upon conversion of an LTIP Unit may be presented for redemption, at the election of the holder, for cash equal to the then fair market value of a share of BXP's common stock, except that BXP may, at its election, acquire each Common OP Unit so presented for one share of BXP's common stock. LTIP Units have no expiration date.</w:t>
      </w:r>
    </w:p>
    <w:p>
      <w:pPr>
        <w:spacing w:after="0" w:line="12" w:lineRule="exact"/>
        <w:rPr>
          <w:rFonts w:ascii="Times New Roman" w:cs="Times New Roman" w:eastAsia="Times New Roman" w:hAnsi="Times New Roman"/>
          <w:sz w:val="12"/>
          <w:szCs w:val="12"/>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3,332 LTIP Units will vest on the earlier of (i) May 29, 2027 and (ii) the date of BXP's 2027 annual meeting of stockholders.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8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03367" TargetMode="External"/><Relationship Id="rId14" Type="http://schemas.openxmlformats.org/officeDocument/2006/relationships/hyperlink" Target="http://www.sec.gov/cgi-bin/browse-edgar?action=getcompany&amp;CIK=0001043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2026-06-02T09:13:36Z</dcterms:created>
  <dcterms:modified xsi:type="dcterms:W3CDTF">2026-06-02T09:13:36Z</dcterms:modified>
</cp:coreProperties>
</file>