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077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077460"/>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vMerge w:val="restart"/>
          </w:tcPr>
          <w:p>
            <w:pPr>
              <w:spacing w:after="0"/>
              <w:rPr>
                <w:rFonts w:ascii="Times New Roman" w:cs="Times New Roman" w:eastAsia="Times New Roman" w:hAnsi="Times New Roman"/>
                <w:sz w:val="21"/>
                <w:szCs w:val="21"/>
                <w:color w:val="0000EE"/>
                <w:w w:val="92"/>
              </w:rPr>
            </w:pPr>
            <w:hyperlink r:id="rId13">
              <w:r>
                <w:rPr>
                  <w:rFonts w:ascii="Times New Roman" w:cs="Times New Roman" w:eastAsia="Times New Roman" w:hAnsi="Times New Roman"/>
                  <w:sz w:val="21"/>
                  <w:szCs w:val="21"/>
                  <w:color w:val="0000EE"/>
                  <w:w w:val="92"/>
                </w:rPr>
                <w:t>West Tony</w:t>
              </w:r>
            </w:hyperlink>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BXP,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BXP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tcBorders>
              <w:bottom w:val="single" w:sz="8" w:color="0000EE"/>
            </w:tcBorders>
            <w:vMerge w:val="continue"/>
          </w:tcPr>
          <w:p>
            <w:pPr>
              <w:spacing w:after="0"/>
              <w:rPr>
                <w:sz w:val="5"/>
                <w:szCs w:val="5"/>
                <w:color w:val="auto"/>
              </w:rPr>
            </w:pPr>
          </w:p>
        </w:tc>
        <w:tc>
          <w:tcPr>
            <w:tcW w:w="12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29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9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146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vMerge w:val="restart"/>
          </w:tcPr>
          <w:p>
            <w:pPr>
              <w:ind w:left="340"/>
              <w:spacing w:after="0"/>
              <w:rPr>
                <w:sz w:val="20"/>
                <w:szCs w:val="20"/>
                <w:color w:val="auto"/>
              </w:rPr>
            </w:pPr>
            <w:r>
              <w:rPr>
                <w:rFonts w:ascii="Arial" w:cs="Arial" w:eastAsia="Arial" w:hAnsi="Arial"/>
                <w:sz w:val="13"/>
                <w:szCs w:val="13"/>
                <w:color w:val="auto"/>
              </w:rPr>
              <w:t>(First)</w:t>
            </w:r>
          </w:p>
        </w:tc>
        <w:tc>
          <w:tcPr>
            <w:tcW w:w="1460" w:type="dxa"/>
            <w:vAlign w:val="bottom"/>
            <w:vMerge w:val="restart"/>
          </w:tcPr>
          <w:p>
            <w:pPr>
              <w:ind w:left="28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05/29/2026</w:t>
            </w:r>
          </w:p>
        </w:tc>
        <w:tc>
          <w:tcPr>
            <w:tcW w:w="29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800 BOYLSTON STREET</w:t>
            </w:r>
          </w:p>
        </w:tc>
        <w:tc>
          <w:tcPr>
            <w:tcW w:w="146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29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60" w:type="dxa"/>
            <w:vAlign w:val="bottom"/>
            <w:gridSpan w:val="2"/>
            <w:vMerge w:val="continue"/>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8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9"/>
              </w:rPr>
              <w:t>SUITE 1900</w:t>
            </w:r>
          </w:p>
        </w:tc>
        <w:tc>
          <w:tcPr>
            <w:tcW w:w="1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29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02199</w:t>
            </w: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8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05/29/2026</w:t>
            </w: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1,666</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22"/>
                <w:szCs w:val="22"/>
                <w:color w:val="auto"/>
              </w:rPr>
            </w:pPr>
          </w:p>
        </w:tc>
        <w:tc>
          <w:tcPr>
            <w:tcW w:w="130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7,691</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2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20" w:type="dxa"/>
            <w:vAlign w:val="bottom"/>
          </w:tcPr>
          <w:p>
            <w:pPr>
              <w:spacing w:after="0"/>
              <w:rPr>
                <w:sz w:val="11"/>
                <w:szCs w:val="11"/>
                <w:color w:val="auto"/>
              </w:rPr>
            </w:pP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LTIP</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05/29/2026</w:t>
            </w:r>
          </w:p>
        </w:tc>
        <w:tc>
          <w:tcPr>
            <w:tcW w:w="1100" w:type="dxa"/>
            <w:vAlign w:val="bottom"/>
          </w:tcPr>
          <w:p>
            <w:pPr>
              <w:spacing w:after="0"/>
              <w:rPr>
                <w:sz w:val="14"/>
                <w:szCs w:val="14"/>
                <w:color w:val="auto"/>
              </w:rPr>
            </w:pP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1,666</w:t>
            </w:r>
          </w:p>
        </w:tc>
        <w:tc>
          <w:tcPr>
            <w:tcW w:w="32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008000"/>
              </w:rPr>
              <w:t>(1)(2)</w:t>
            </w:r>
          </w:p>
        </w:tc>
        <w:tc>
          <w:tcPr>
            <w:tcW w:w="220" w:type="dxa"/>
            <w:vAlign w:val="bottom"/>
          </w:tcPr>
          <w:p>
            <w:pPr>
              <w:spacing w:after="0"/>
              <w:rPr>
                <w:sz w:val="14"/>
                <w:szCs w:val="14"/>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(1)</w:t>
            </w: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1,666</w:t>
            </w:r>
          </w:p>
        </w:tc>
        <w:tc>
          <w:tcPr>
            <w:tcW w:w="60" w:type="dxa"/>
            <w:vAlign w:val="bottom"/>
          </w:tcPr>
          <w:p>
            <w:pPr>
              <w:spacing w:after="0"/>
              <w:rPr>
                <w:sz w:val="14"/>
                <w:szCs w:val="14"/>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0.25</w:t>
            </w:r>
          </w:p>
        </w:tc>
        <w:tc>
          <w:tcPr>
            <w:tcW w:w="60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4,300</w:t>
            </w:r>
          </w:p>
        </w:tc>
        <w:tc>
          <w:tcPr>
            <w:tcW w:w="280" w:type="dxa"/>
            <w:vAlign w:val="bottom"/>
          </w:tcPr>
          <w:p>
            <w:pPr>
              <w:spacing w:after="0"/>
              <w:rPr>
                <w:sz w:val="14"/>
                <w:szCs w:val="14"/>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00" w:type="dxa"/>
            <w:vAlign w:val="bottom"/>
          </w:tcPr>
          <w:p>
            <w:pPr>
              <w:ind w:left="60"/>
              <w:spacing w:after="0" w:line="118" w:lineRule="exact"/>
              <w:rPr>
                <w:sz w:val="20"/>
                <w:szCs w:val="20"/>
                <w:color w:val="auto"/>
              </w:rPr>
            </w:pPr>
            <w:r>
              <w:rPr>
                <w:rFonts w:ascii="Times New Roman" w:cs="Times New Roman" w:eastAsia="Times New Roman" w:hAnsi="Times New Roman"/>
                <w:sz w:val="9"/>
                <w:szCs w:val="9"/>
                <w:color w:val="0000FF"/>
              </w:rPr>
              <w:t>Units</w:t>
            </w:r>
            <w:r>
              <w:rPr>
                <w:rFonts w:ascii="Times New Roman" w:cs="Times New Roman" w:eastAsia="Times New Roman" w:hAnsi="Times New Roman"/>
                <w:sz w:val="13"/>
                <w:szCs w:val="13"/>
                <w:color w:val="008000"/>
                <w:vertAlign w:val="superscript"/>
              </w:rPr>
              <w:t>(1)</w:t>
            </w:r>
          </w:p>
        </w:tc>
        <w:tc>
          <w:tcPr>
            <w:tcW w:w="78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$0.01</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-2199640</wp:posOffset>
            </wp:positionV>
            <wp:extent cx="29210" cy="22047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0472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18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units of limited partnership interest in Boston Properties Limited Partnership ("BPLP"), of which the Issuer is the general partner, issued pursuant to the Issuer's equity based incentive programs ("LTIP Units"). Conditioned upon minimum allocations to the capital accounts of the LTIP Units for federal income tax purposes, each LTIP Unit may be converted, at the election of BPLP or the holder, into a common unit of limited partnership interest in BPLP ("Common OP Unit"). Each Common OP Unit acquired upon conversion of an LTIP Unit may be presented for redemption, at the election of the holder, for cash equal to the then fair market value of a share of the Issuer's common stock, except that the Issuer may, at its election, acquire each Common OP Unit so presented for one share of common stock. LTIP Units have no expiration date.</w:t>
      </w:r>
    </w:p>
    <w:p>
      <w:pPr>
        <w:spacing w:after="0" w:line="28"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1,666 LTIP Units will vest on the earlier of (i) May 29, 2027 and (ii) the date of the BXP's 2027 annual meeting of stockholders.</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Kelli A. DiLuglio,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06/02/2026</w:t>
            </w: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480" w:type="dxa"/>
            <w:vAlign w:val="bottom"/>
            <w:tcBorders>
              <w:top w:val="single" w:sz="8" w:color="auto"/>
              <w:bottom w:val="single" w:sz="8" w:color="auto"/>
            </w:tcBorders>
            <w:vMerge w:val="restart"/>
          </w:tcPr>
          <w:p>
            <w:pPr>
              <w:spacing w:after="0"/>
              <w:rPr>
                <w:sz w:val="7"/>
                <w:szCs w:val="7"/>
                <w:color w:val="auto"/>
              </w:rPr>
            </w:pPr>
          </w:p>
        </w:tc>
        <w:tc>
          <w:tcPr>
            <w:tcW w:w="5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140" w:type="dxa"/>
            <w:vAlign w:val="bottom"/>
            <w:tcBorders>
              <w:bottom w:val="single" w:sz="8" w:color="auto"/>
            </w:tcBorders>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26201" TargetMode="External"/><Relationship Id="rId14" Type="http://schemas.openxmlformats.org/officeDocument/2006/relationships/hyperlink" Target="http://www.sec.gov/cgi-bin/browse-edgar?action=getcompany&amp;CIK=00010375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2026-06-02T09:14:12Z</dcterms:created>
  <dcterms:modified xsi:type="dcterms:W3CDTF">2026-06-02T09:14:12Z</dcterms:modified>
</cp:coreProperties>
</file>